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jc w:val="right"/>
        <w:rPr>
          <w:rFonts w:hint="default" w:eastAsia="仿宋_GB2312"/>
          <w:lang w:val="en-US" w:eastAsia="zh-CN"/>
        </w:rPr>
      </w:pPr>
      <w:r>
        <w:rPr>
          <w:rFonts w:hint="eastAsia"/>
        </w:rPr>
        <w:t xml:space="preserve">   </w:t>
      </w:r>
      <w:r>
        <w:rPr>
          <w:rFonts w:hint="eastAsia" w:ascii="仿宋_GB2312" w:hAnsi="仿宋_GB2312" w:eastAsia="仿宋_GB2312" w:cs="仿宋_GB2312"/>
          <w:sz w:val="28"/>
          <w:szCs w:val="28"/>
        </w:rPr>
        <w:t>招标文件编号：</w:t>
      </w:r>
      <w:r>
        <w:rPr>
          <w:rFonts w:hint="eastAsia" w:ascii="仿宋_GB2312" w:hAnsi="仿宋_GB2312" w:eastAsia="仿宋_GB2312" w:cs="仿宋_GB2312"/>
          <w:color w:val="FF0000"/>
          <w:sz w:val="22"/>
          <w:szCs w:val="22"/>
        </w:rPr>
        <w:t>GC</w:t>
      </w:r>
      <w:r>
        <w:rPr>
          <w:rFonts w:hint="eastAsia" w:ascii="仿宋_GB2312" w:hAnsi="仿宋_GB2312" w:eastAsia="仿宋_GB2312" w:cs="仿宋_GB2312"/>
          <w:color w:val="FF0000"/>
          <w:sz w:val="22"/>
          <w:szCs w:val="22"/>
          <w:lang w:val="en-US" w:eastAsia="zh-CN"/>
        </w:rPr>
        <w:t>2022/</w:t>
      </w:r>
      <w:r>
        <w:rPr>
          <w:rFonts w:hint="eastAsia" w:ascii="仿宋_GB2312" w:hAnsi="仿宋_GB2312" w:eastAsia="仿宋_GB2312" w:cs="仿宋_GB2312"/>
          <w:color w:val="FF0000"/>
          <w:sz w:val="22"/>
          <w:szCs w:val="22"/>
        </w:rPr>
        <w:t>0</w:t>
      </w:r>
      <w:r>
        <w:rPr>
          <w:rFonts w:hint="eastAsia" w:ascii="仿宋_GB2312" w:hAnsi="仿宋_GB2312" w:eastAsia="仿宋_GB2312" w:cs="仿宋_GB2312"/>
          <w:color w:val="FF0000"/>
          <w:sz w:val="22"/>
          <w:szCs w:val="22"/>
          <w:lang w:val="en-US" w:eastAsia="zh-CN"/>
        </w:rPr>
        <w:t>7/21</w:t>
      </w:r>
      <w:r>
        <w:rPr>
          <w:rFonts w:hint="eastAsia" w:ascii="仿宋_GB2312" w:hAnsi="仿宋_GB2312" w:eastAsia="仿宋_GB2312" w:cs="仿宋_GB2312"/>
          <w:color w:val="FF0000"/>
          <w:sz w:val="22"/>
          <w:szCs w:val="22"/>
        </w:rPr>
        <w:t>-</w:t>
      </w:r>
      <w:r>
        <w:rPr>
          <w:rFonts w:hint="eastAsia" w:ascii="仿宋_GB2312" w:hAnsi="仿宋_GB2312" w:eastAsia="仿宋_GB2312" w:cs="仿宋_GB2312"/>
          <w:color w:val="FF0000"/>
          <w:sz w:val="22"/>
          <w:szCs w:val="22"/>
          <w:lang w:val="en-US" w:eastAsia="zh-CN"/>
        </w:rPr>
        <w:t>01</w:t>
      </w:r>
    </w:p>
    <w:p>
      <w:pPr>
        <w:snapToGrid w:val="0"/>
        <w:spacing w:beforeLines="50"/>
        <w:jc w:val="center"/>
        <w:rPr>
          <w:rFonts w:ascii="黑体" w:eastAsia="黑体"/>
          <w:sz w:val="48"/>
          <w:szCs w:val="40"/>
        </w:rPr>
      </w:pPr>
      <w:r>
        <w:drawing>
          <wp:anchor distT="0" distB="0" distL="114300" distR="114300" simplePos="0" relativeHeight="251659264" behindDoc="0" locked="0" layoutInCell="1" allowOverlap="1">
            <wp:simplePos x="0" y="0"/>
            <wp:positionH relativeFrom="column">
              <wp:posOffset>2132965</wp:posOffset>
            </wp:positionH>
            <wp:positionV relativeFrom="paragraph">
              <wp:posOffset>412115</wp:posOffset>
            </wp:positionV>
            <wp:extent cx="1074420" cy="878840"/>
            <wp:effectExtent l="0" t="0" r="0" b="0"/>
            <wp:wrapNone/>
            <wp:docPr id="1" name="图片 1" descr="QQ图片2017060623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0606230420"/>
                    <pic:cNvPicPr>
                      <a:picLocks noChangeAspect="1"/>
                    </pic:cNvPicPr>
                  </pic:nvPicPr>
                  <pic:blipFill>
                    <a:blip r:embed="rId10"/>
                    <a:stretch>
                      <a:fillRect/>
                    </a:stretch>
                  </pic:blipFill>
                  <pic:spPr>
                    <a:xfrm>
                      <a:off x="0" y="0"/>
                      <a:ext cx="1074420" cy="878840"/>
                    </a:xfrm>
                    <a:prstGeom prst="rect">
                      <a:avLst/>
                    </a:prstGeom>
                    <a:noFill/>
                    <a:ln>
                      <a:noFill/>
                    </a:ln>
                  </pic:spPr>
                </pic:pic>
              </a:graphicData>
            </a:graphic>
          </wp:anchor>
        </w:drawing>
      </w:r>
    </w:p>
    <w:p>
      <w:pPr>
        <w:snapToGrid w:val="0"/>
        <w:spacing w:beforeLines="50"/>
        <w:jc w:val="center"/>
        <w:rPr>
          <w:rFonts w:hint="eastAsia" w:ascii="黑体" w:hAnsi="黑体" w:eastAsia="黑体" w:cs="黑体"/>
          <w:sz w:val="48"/>
          <w:szCs w:val="48"/>
        </w:rPr>
      </w:pPr>
    </w:p>
    <w:p>
      <w:pPr>
        <w:snapToGrid w:val="0"/>
        <w:spacing w:beforeLines="50"/>
        <w:jc w:val="center"/>
        <w:rPr>
          <w:rFonts w:hint="eastAsia" w:ascii="黑体" w:hAnsi="Times New Roman" w:eastAsia="黑体" w:cs="Times New Roman"/>
          <w:sz w:val="48"/>
          <w:szCs w:val="40"/>
          <w:lang w:eastAsia="zh-CN"/>
        </w:rPr>
      </w:pPr>
      <w:r>
        <w:rPr>
          <w:rFonts w:hint="eastAsia" w:ascii="黑体" w:hAnsi="Times New Roman" w:eastAsia="黑体" w:cs="Times New Roman"/>
          <w:sz w:val="48"/>
          <w:szCs w:val="40"/>
          <w:lang w:eastAsia="zh-CN"/>
        </w:rPr>
        <w:t>贵州建工云富集采有限责任公司</w:t>
      </w:r>
    </w:p>
    <w:p>
      <w:pPr>
        <w:snapToGrid w:val="0"/>
        <w:spacing w:beforeLines="50"/>
        <w:jc w:val="center"/>
        <w:rPr>
          <w:rFonts w:hint="eastAsia" w:ascii="黑体" w:hAnsi="Times New Roman" w:eastAsia="黑体" w:cs="Times New Roman"/>
          <w:sz w:val="48"/>
          <w:szCs w:val="40"/>
          <w:lang w:eastAsia="zh-CN"/>
        </w:rPr>
      </w:pPr>
      <w:r>
        <w:rPr>
          <w:rFonts w:hint="eastAsia" w:ascii="黑体" w:hAnsi="Times New Roman" w:eastAsia="黑体" w:cs="Times New Roman"/>
          <w:sz w:val="48"/>
          <w:szCs w:val="40"/>
          <w:lang w:eastAsia="zh-CN"/>
        </w:rPr>
        <w:t>物资采购</w:t>
      </w:r>
    </w:p>
    <w:p>
      <w:pPr>
        <w:snapToGrid w:val="0"/>
        <w:spacing w:beforeLines="50"/>
        <w:jc w:val="center"/>
        <w:rPr>
          <w:rFonts w:hint="eastAsia" w:ascii="黑体" w:hAnsi="Times New Roman" w:eastAsia="黑体" w:cs="Times New Roman"/>
          <w:sz w:val="48"/>
          <w:szCs w:val="40"/>
          <w:lang w:eastAsia="zh-CN"/>
        </w:rPr>
      </w:pPr>
      <w:r>
        <w:rPr>
          <w:rFonts w:hint="eastAsia" w:ascii="黑体" w:hAnsi="Times New Roman" w:eastAsia="黑体" w:cs="Times New Roman"/>
          <w:sz w:val="48"/>
          <w:szCs w:val="40"/>
          <w:lang w:eastAsia="zh-CN"/>
        </w:rPr>
        <w:t>（</w:t>
      </w:r>
      <w:r>
        <w:rPr>
          <w:rFonts w:hint="eastAsia" w:ascii="黑体" w:hAnsi="Times New Roman" w:eastAsia="黑体" w:cs="Times New Roman"/>
          <w:sz w:val="48"/>
          <w:szCs w:val="40"/>
          <w:lang w:val="en-US" w:eastAsia="zh-CN"/>
        </w:rPr>
        <w:t>钢材</w:t>
      </w:r>
      <w:r>
        <w:rPr>
          <w:rFonts w:hint="eastAsia" w:ascii="黑体" w:hAnsi="Times New Roman" w:eastAsia="黑体" w:cs="Times New Roman"/>
          <w:sz w:val="48"/>
          <w:szCs w:val="40"/>
          <w:lang w:eastAsia="zh-CN"/>
        </w:rPr>
        <w:t>）</w:t>
      </w:r>
    </w:p>
    <w:p>
      <w:pPr>
        <w:spacing w:line="920" w:lineRule="exact"/>
        <w:jc w:val="both"/>
        <w:rPr>
          <w:rFonts w:eastAsia="黑体"/>
          <w:b/>
          <w:bCs/>
          <w:sz w:val="44"/>
          <w:szCs w:val="44"/>
        </w:rPr>
      </w:pPr>
    </w:p>
    <w:p>
      <w:pPr>
        <w:spacing w:line="920" w:lineRule="exact"/>
        <w:jc w:val="center"/>
        <w:rPr>
          <w:rFonts w:eastAsia="黑体"/>
          <w:sz w:val="72"/>
          <w:szCs w:val="50"/>
        </w:rPr>
      </w:pPr>
    </w:p>
    <w:p>
      <w:pPr>
        <w:spacing w:line="920" w:lineRule="exact"/>
        <w:jc w:val="center"/>
        <w:rPr>
          <w:rFonts w:eastAsia="黑体"/>
          <w:sz w:val="72"/>
          <w:szCs w:val="50"/>
        </w:rPr>
      </w:pPr>
      <w:r>
        <w:rPr>
          <w:rFonts w:hint="eastAsia" w:eastAsia="黑体"/>
          <w:sz w:val="72"/>
          <w:szCs w:val="50"/>
          <w:lang w:val="en-US" w:eastAsia="zh-CN"/>
        </w:rPr>
        <w:t>竞争性谈判</w:t>
      </w:r>
      <w:r>
        <w:rPr>
          <w:rFonts w:hint="eastAsia" w:eastAsia="黑体"/>
          <w:sz w:val="72"/>
          <w:szCs w:val="50"/>
        </w:rPr>
        <w:t>招标文件</w:t>
      </w:r>
    </w:p>
    <w:p>
      <w:pPr>
        <w:spacing w:line="400" w:lineRule="exact"/>
        <w:ind w:firstLine="3450" w:firstLineChars="1150"/>
        <w:rPr>
          <w:rFonts w:ascii="黑体" w:eastAsia="黑体"/>
          <w:sz w:val="30"/>
          <w:szCs w:val="30"/>
        </w:rPr>
      </w:pPr>
    </w:p>
    <w:p>
      <w:pPr>
        <w:spacing w:line="400" w:lineRule="exact"/>
        <w:jc w:val="center"/>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sz w:val="24"/>
        </w:rPr>
      </w:pPr>
    </w:p>
    <w:p>
      <w:pPr>
        <w:spacing w:line="400" w:lineRule="exact"/>
        <w:jc w:val="center"/>
        <w:rPr>
          <w:rFonts w:ascii="宋体"/>
          <w:sz w:val="24"/>
        </w:rPr>
      </w:pPr>
      <w:r>
        <w:rPr>
          <w:rFonts w:hint="eastAsia" w:ascii="宋体" w:hAnsi="宋体"/>
          <w:sz w:val="24"/>
        </w:rPr>
        <w:t>编制日期：</w:t>
      </w:r>
      <w:r>
        <w:rPr>
          <w:rFonts w:ascii="宋体" w:hAnsi="宋体"/>
          <w:sz w:val="24"/>
        </w:rPr>
        <w:t xml:space="preserve"> </w:t>
      </w:r>
      <w:r>
        <w:rPr>
          <w:rFonts w:hint="eastAsia" w:ascii="宋体" w:hAnsi="宋体"/>
          <w:sz w:val="24"/>
          <w:lang w:val="en-US" w:eastAsia="zh-CN"/>
        </w:rPr>
        <w:t>2022</w:t>
      </w:r>
      <w:r>
        <w:rPr>
          <w:rFonts w:ascii="宋体" w:hAnsi="宋体"/>
          <w:sz w:val="24"/>
        </w:rPr>
        <w:t xml:space="preserve"> </w:t>
      </w:r>
      <w:r>
        <w:rPr>
          <w:rFonts w:hint="eastAsia" w:ascii="宋体" w:hAnsi="宋体"/>
          <w:sz w:val="24"/>
        </w:rPr>
        <w:t>年</w:t>
      </w:r>
      <w:r>
        <w:rPr>
          <w:rFonts w:hint="eastAsia" w:ascii="宋体" w:hAnsi="宋体"/>
          <w:sz w:val="24"/>
          <w:lang w:val="en-US" w:eastAsia="zh-CN"/>
        </w:rPr>
        <w:t xml:space="preserve"> 7</w:t>
      </w:r>
      <w:r>
        <w:rPr>
          <w:rFonts w:ascii="宋体" w:hAnsi="宋体"/>
          <w:sz w:val="24"/>
        </w:rPr>
        <w:t xml:space="preserve"> </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p>
    <w:p>
      <w:pPr>
        <w:spacing w:line="400" w:lineRule="exact"/>
        <w:rPr>
          <w:rFonts w:ascii="宋体"/>
          <w:sz w:val="24"/>
        </w:rPr>
      </w:pPr>
    </w:p>
    <w:p/>
    <w:sdt>
      <w:sdtPr>
        <w:rPr>
          <w:lang w:val="en-US" w:eastAsia="zh-CN"/>
        </w:rPr>
        <w:id w:val="147469345"/>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bidi w:val="0"/>
            <w:jc w:val="center"/>
          </w:pPr>
          <w:r>
            <w:t>目</w:t>
          </w:r>
          <w:r>
            <w:rPr>
              <w:rFonts w:hint="eastAsia"/>
              <w:lang w:val="en-US" w:eastAsia="zh-CN"/>
            </w:rPr>
            <w:t xml:space="preserve">  </w:t>
          </w:r>
          <w:r>
            <w:t>录</w:t>
          </w:r>
        </w:p>
        <w:p>
          <w:pPr>
            <w:pStyle w:val="17"/>
            <w:tabs>
              <w:tab w:val="right" w:leader="dot" w:pos="8306"/>
            </w:tabs>
          </w:pPr>
          <w:r>
            <w:fldChar w:fldCharType="begin"/>
          </w:r>
          <w:r>
            <w:instrText xml:space="preserve">TOC \o "1-3" \h \u </w:instrText>
          </w:r>
          <w:r>
            <w:fldChar w:fldCharType="separate"/>
          </w:r>
          <w:r>
            <w:fldChar w:fldCharType="begin"/>
          </w:r>
          <w:r>
            <w:instrText xml:space="preserve"> HYPERLINK \l _Toc24705 </w:instrText>
          </w:r>
          <w:r>
            <w:fldChar w:fldCharType="separate"/>
          </w:r>
          <w:r>
            <w:rPr>
              <w:rFonts w:hint="eastAsia"/>
              <w:lang w:val="en-US" w:eastAsia="zh-CN"/>
            </w:rPr>
            <w:t>第一章 竞争性谈判</w:t>
          </w:r>
          <w:r>
            <w:rPr>
              <w:rFonts w:hint="eastAsia"/>
            </w:rPr>
            <w:t>招标公告</w:t>
          </w:r>
          <w:r>
            <w:tab/>
          </w:r>
          <w:r>
            <w:fldChar w:fldCharType="begin"/>
          </w:r>
          <w:r>
            <w:instrText xml:space="preserve"> PAGEREF _Toc24705 \h </w:instrText>
          </w:r>
          <w:r>
            <w:fldChar w:fldCharType="separate"/>
          </w:r>
          <w:r>
            <w:t>1</w:t>
          </w:r>
          <w:r>
            <w:fldChar w:fldCharType="end"/>
          </w:r>
          <w:r>
            <w:fldChar w:fldCharType="end"/>
          </w:r>
        </w:p>
        <w:p>
          <w:pPr>
            <w:pStyle w:val="19"/>
            <w:tabs>
              <w:tab w:val="right" w:leader="dot" w:pos="8306"/>
            </w:tabs>
          </w:pPr>
          <w:r>
            <w:fldChar w:fldCharType="begin"/>
          </w:r>
          <w:r>
            <w:instrText xml:space="preserve"> HYPERLINK \l _Toc29329 </w:instrText>
          </w:r>
          <w:r>
            <w:fldChar w:fldCharType="separate"/>
          </w:r>
          <w:r>
            <w:rPr>
              <w:lang w:val="en-US" w:eastAsia="zh-CN"/>
            </w:rPr>
            <w:t>1. 招标条件</w:t>
          </w:r>
          <w:r>
            <w:tab/>
          </w:r>
          <w:r>
            <w:fldChar w:fldCharType="begin"/>
          </w:r>
          <w:r>
            <w:instrText xml:space="preserve"> PAGEREF _Toc29329 \h </w:instrText>
          </w:r>
          <w:r>
            <w:fldChar w:fldCharType="separate"/>
          </w:r>
          <w:r>
            <w:t>1</w:t>
          </w:r>
          <w:r>
            <w:fldChar w:fldCharType="end"/>
          </w:r>
          <w:r>
            <w:fldChar w:fldCharType="end"/>
          </w:r>
        </w:p>
        <w:p>
          <w:pPr>
            <w:pStyle w:val="19"/>
            <w:tabs>
              <w:tab w:val="right" w:leader="dot" w:pos="8306"/>
            </w:tabs>
          </w:pPr>
          <w:r>
            <w:fldChar w:fldCharType="begin"/>
          </w:r>
          <w:r>
            <w:instrText xml:space="preserve"> HYPERLINK \l _Toc13864 </w:instrText>
          </w:r>
          <w:r>
            <w:fldChar w:fldCharType="separate"/>
          </w:r>
          <w:r>
            <w:rPr>
              <w:lang w:val="en-US" w:eastAsia="zh-CN"/>
            </w:rPr>
            <w:t>2. 项目概况与招标内容</w:t>
          </w:r>
          <w:r>
            <w:tab/>
          </w:r>
          <w:r>
            <w:fldChar w:fldCharType="begin"/>
          </w:r>
          <w:r>
            <w:instrText xml:space="preserve"> PAGEREF _Toc13864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_Toc31743 </w:instrText>
          </w:r>
          <w:r>
            <w:fldChar w:fldCharType="separate"/>
          </w:r>
          <w:r>
            <w:rPr>
              <w:rFonts w:hint="eastAsia"/>
            </w:rPr>
            <w:t>2.1、项目概况：</w:t>
          </w:r>
          <w:r>
            <w:tab/>
          </w:r>
          <w:r>
            <w:fldChar w:fldCharType="begin"/>
          </w:r>
          <w:r>
            <w:instrText xml:space="preserve"> PAGEREF _Toc31743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_Toc16087 </w:instrText>
          </w:r>
          <w:r>
            <w:fldChar w:fldCharType="separate"/>
          </w:r>
          <w:r>
            <w:rPr>
              <w:rFonts w:hint="eastAsia" w:cs="Times New Roman"/>
              <w:lang w:val="en-US" w:eastAsia="zh-CN"/>
            </w:rPr>
            <w:t>2.2、</w:t>
          </w:r>
          <w:r>
            <w:rPr>
              <w:rFonts w:ascii="Times New Roman" w:hAnsi="Times New Roman" w:eastAsia="宋体" w:cs="Times New Roman"/>
            </w:rPr>
            <w:t>招标内容：</w:t>
          </w:r>
          <w:r>
            <w:tab/>
          </w:r>
          <w:r>
            <w:fldChar w:fldCharType="begin"/>
          </w:r>
          <w:r>
            <w:instrText xml:space="preserve"> PAGEREF _Toc16087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_Toc9897 </w:instrText>
          </w:r>
          <w:r>
            <w:fldChar w:fldCharType="separate"/>
          </w:r>
          <w:r>
            <w:rPr>
              <w:rFonts w:hint="eastAsia" w:cs="Times New Roman"/>
              <w:lang w:val="en-US" w:eastAsia="zh-CN"/>
            </w:rPr>
            <w:t>2.3、招标使用方式：</w:t>
          </w:r>
          <w:r>
            <w:tab/>
          </w:r>
          <w:r>
            <w:fldChar w:fldCharType="begin"/>
          </w:r>
          <w:r>
            <w:instrText xml:space="preserve"> PAGEREF _Toc9897 \h </w:instrText>
          </w:r>
          <w:r>
            <w:fldChar w:fldCharType="separate"/>
          </w:r>
          <w:r>
            <w:t>2</w:t>
          </w:r>
          <w:r>
            <w:fldChar w:fldCharType="end"/>
          </w:r>
          <w:r>
            <w:fldChar w:fldCharType="end"/>
          </w:r>
        </w:p>
        <w:p>
          <w:pPr>
            <w:pStyle w:val="19"/>
            <w:tabs>
              <w:tab w:val="right" w:leader="dot" w:pos="8306"/>
            </w:tabs>
          </w:pPr>
          <w:r>
            <w:fldChar w:fldCharType="begin"/>
          </w:r>
          <w:r>
            <w:instrText xml:space="preserve"> HYPERLINK \l _Toc21973 </w:instrText>
          </w:r>
          <w:r>
            <w:fldChar w:fldCharType="separate"/>
          </w:r>
          <w:r>
            <w:rPr>
              <w:rFonts w:hint="eastAsia"/>
              <w:lang w:val="en-US" w:eastAsia="zh-CN"/>
            </w:rPr>
            <w:t>3. 投标人资格要求</w:t>
          </w:r>
          <w:r>
            <w:tab/>
          </w:r>
          <w:r>
            <w:fldChar w:fldCharType="begin"/>
          </w:r>
          <w:r>
            <w:instrText xml:space="preserve"> PAGEREF _Toc21973 \h </w:instrText>
          </w:r>
          <w:r>
            <w:fldChar w:fldCharType="separate"/>
          </w:r>
          <w:r>
            <w:t>2</w:t>
          </w:r>
          <w:r>
            <w:fldChar w:fldCharType="end"/>
          </w:r>
          <w:r>
            <w:fldChar w:fldCharType="end"/>
          </w:r>
        </w:p>
        <w:p>
          <w:pPr>
            <w:pStyle w:val="19"/>
            <w:tabs>
              <w:tab w:val="right" w:leader="dot" w:pos="8306"/>
            </w:tabs>
          </w:pPr>
          <w:r>
            <w:fldChar w:fldCharType="begin"/>
          </w:r>
          <w:r>
            <w:instrText xml:space="preserve"> HYPERLINK \l _Toc27997 </w:instrText>
          </w:r>
          <w:r>
            <w:fldChar w:fldCharType="separate"/>
          </w:r>
          <w:r>
            <w:rPr>
              <w:rFonts w:hint="eastAsia"/>
              <w:lang w:val="en-US" w:eastAsia="zh-CN"/>
            </w:rPr>
            <w:t>4. 招标文件的获取</w:t>
          </w:r>
          <w:r>
            <w:tab/>
          </w:r>
          <w:r>
            <w:fldChar w:fldCharType="begin"/>
          </w:r>
          <w:r>
            <w:instrText xml:space="preserve"> PAGEREF _Toc27997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_Toc27858 </w:instrText>
          </w:r>
          <w:r>
            <w:fldChar w:fldCharType="separate"/>
          </w:r>
          <w:r>
            <w:rPr>
              <w:rFonts w:hint="eastAsia"/>
              <w:lang w:val="en-US" w:eastAsia="zh-CN"/>
            </w:rPr>
            <w:t>5.投标文件的递交</w:t>
          </w:r>
          <w:r>
            <w:tab/>
          </w:r>
          <w:r>
            <w:fldChar w:fldCharType="begin"/>
          </w:r>
          <w:r>
            <w:instrText xml:space="preserve"> PAGEREF _Toc27858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_Toc15546 </w:instrText>
          </w:r>
          <w:r>
            <w:fldChar w:fldCharType="separate"/>
          </w:r>
          <w:r>
            <w:rPr>
              <w:rFonts w:hint="eastAsia"/>
              <w:lang w:val="en-US" w:eastAsia="zh-CN"/>
            </w:rPr>
            <w:t>6. 开标时间及地点</w:t>
          </w:r>
          <w:r>
            <w:tab/>
          </w:r>
          <w:r>
            <w:fldChar w:fldCharType="begin"/>
          </w:r>
          <w:r>
            <w:instrText xml:space="preserve"> PAGEREF _Toc15546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_Toc16602 </w:instrText>
          </w:r>
          <w:r>
            <w:fldChar w:fldCharType="separate"/>
          </w:r>
          <w:r>
            <w:rPr>
              <w:rFonts w:hint="eastAsia"/>
              <w:lang w:val="en-US" w:eastAsia="zh-CN"/>
            </w:rPr>
            <w:t>7. 联系方式</w:t>
          </w:r>
          <w:r>
            <w:tab/>
          </w:r>
          <w:r>
            <w:fldChar w:fldCharType="begin"/>
          </w:r>
          <w:r>
            <w:instrText xml:space="preserve"> PAGEREF _Toc16602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_Toc31970 </w:instrText>
          </w:r>
          <w:r>
            <w:fldChar w:fldCharType="separate"/>
          </w:r>
          <w:r>
            <w:rPr>
              <w:rFonts w:hint="default"/>
              <w:lang w:val="en-US" w:eastAsia="zh-CN"/>
            </w:rPr>
            <w:t>8. 监督机构</w:t>
          </w:r>
          <w:r>
            <w:tab/>
          </w:r>
          <w:r>
            <w:fldChar w:fldCharType="begin"/>
          </w:r>
          <w:r>
            <w:instrText xml:space="preserve"> PAGEREF _Toc31970 \h </w:instrText>
          </w:r>
          <w:r>
            <w:fldChar w:fldCharType="separate"/>
          </w:r>
          <w:r>
            <w:t>3</w:t>
          </w:r>
          <w:r>
            <w:fldChar w:fldCharType="end"/>
          </w:r>
          <w:r>
            <w:fldChar w:fldCharType="end"/>
          </w:r>
        </w:p>
        <w:p>
          <w:pPr>
            <w:pStyle w:val="17"/>
            <w:tabs>
              <w:tab w:val="right" w:leader="dot" w:pos="8306"/>
            </w:tabs>
          </w:pPr>
          <w:r>
            <w:fldChar w:fldCharType="begin"/>
          </w:r>
          <w:r>
            <w:instrText xml:space="preserve"> HYPERLINK \l _Toc17346 </w:instrText>
          </w:r>
          <w:r>
            <w:fldChar w:fldCharType="separate"/>
          </w:r>
          <w:r>
            <w:rPr>
              <w:rFonts w:hint="eastAsia"/>
              <w:lang w:val="en-US" w:eastAsia="zh-CN"/>
            </w:rPr>
            <w:t>第二章 投标人须知</w:t>
          </w:r>
          <w:r>
            <w:tab/>
          </w:r>
          <w:r>
            <w:fldChar w:fldCharType="begin"/>
          </w:r>
          <w:r>
            <w:instrText xml:space="preserve"> PAGEREF _Toc17346 \h </w:instrText>
          </w:r>
          <w:r>
            <w:fldChar w:fldCharType="separate"/>
          </w:r>
          <w:r>
            <w:t>4</w:t>
          </w:r>
          <w:r>
            <w:fldChar w:fldCharType="end"/>
          </w:r>
          <w:r>
            <w:fldChar w:fldCharType="end"/>
          </w:r>
        </w:p>
        <w:p>
          <w:pPr>
            <w:pStyle w:val="19"/>
            <w:tabs>
              <w:tab w:val="right" w:leader="dot" w:pos="8306"/>
            </w:tabs>
          </w:pPr>
          <w:r>
            <w:fldChar w:fldCharType="begin"/>
          </w:r>
          <w:r>
            <w:instrText xml:space="preserve"> HYPERLINK \l _Toc16805 </w:instrText>
          </w:r>
          <w:r>
            <w:fldChar w:fldCharType="separate"/>
          </w:r>
          <w:r>
            <w:rPr>
              <w:rFonts w:hint="default"/>
              <w:lang w:val="en-US" w:eastAsia="zh-CN"/>
            </w:rPr>
            <w:t xml:space="preserve">1. </w:t>
          </w:r>
          <w:r>
            <w:rPr>
              <w:rFonts w:hint="eastAsia"/>
              <w:lang w:val="en-US" w:eastAsia="zh-CN"/>
            </w:rPr>
            <w:t>投标人须知前附表</w:t>
          </w:r>
          <w:r>
            <w:tab/>
          </w:r>
          <w:r>
            <w:fldChar w:fldCharType="begin"/>
          </w:r>
          <w:r>
            <w:instrText xml:space="preserve"> PAGEREF _Toc16805 \h </w:instrText>
          </w:r>
          <w:r>
            <w:fldChar w:fldCharType="separate"/>
          </w:r>
          <w:r>
            <w:t>4</w:t>
          </w:r>
          <w:r>
            <w:fldChar w:fldCharType="end"/>
          </w:r>
          <w:r>
            <w:fldChar w:fldCharType="end"/>
          </w:r>
        </w:p>
        <w:p>
          <w:pPr>
            <w:pStyle w:val="19"/>
            <w:tabs>
              <w:tab w:val="right" w:leader="dot" w:pos="8306"/>
            </w:tabs>
          </w:pPr>
          <w:r>
            <w:fldChar w:fldCharType="begin"/>
          </w:r>
          <w:r>
            <w:instrText xml:space="preserve"> HYPERLINK \l _Toc17959 </w:instrText>
          </w:r>
          <w:r>
            <w:fldChar w:fldCharType="separate"/>
          </w:r>
          <w:r>
            <w:rPr>
              <w:rFonts w:hint="eastAsia"/>
              <w:lang w:val="en-US" w:eastAsia="zh-CN"/>
            </w:rPr>
            <w:t>2. 开标程序</w:t>
          </w:r>
          <w:r>
            <w:tab/>
          </w:r>
          <w:r>
            <w:fldChar w:fldCharType="begin"/>
          </w:r>
          <w:r>
            <w:instrText xml:space="preserve"> PAGEREF _Toc17959 \h </w:instrText>
          </w:r>
          <w:r>
            <w:fldChar w:fldCharType="separate"/>
          </w:r>
          <w:r>
            <w:t>5</w:t>
          </w:r>
          <w:r>
            <w:fldChar w:fldCharType="end"/>
          </w:r>
          <w:r>
            <w:fldChar w:fldCharType="end"/>
          </w:r>
        </w:p>
        <w:p>
          <w:pPr>
            <w:pStyle w:val="19"/>
            <w:tabs>
              <w:tab w:val="right" w:leader="dot" w:pos="8306"/>
            </w:tabs>
          </w:pPr>
          <w:r>
            <w:fldChar w:fldCharType="begin"/>
          </w:r>
          <w:r>
            <w:instrText xml:space="preserve"> HYPERLINK \l _Toc7442 </w:instrText>
          </w:r>
          <w:r>
            <w:fldChar w:fldCharType="separate"/>
          </w:r>
          <w:r>
            <w:rPr>
              <w:rFonts w:hint="eastAsia"/>
              <w:lang w:val="en-US" w:eastAsia="zh-CN"/>
            </w:rPr>
            <w:t>3. 评标委员会</w:t>
          </w:r>
          <w:r>
            <w:tab/>
          </w:r>
          <w:r>
            <w:fldChar w:fldCharType="begin"/>
          </w:r>
          <w:r>
            <w:instrText xml:space="preserve"> PAGEREF _Toc7442 \h </w:instrText>
          </w:r>
          <w:r>
            <w:fldChar w:fldCharType="separate"/>
          </w:r>
          <w:r>
            <w:t>5</w:t>
          </w:r>
          <w:r>
            <w:fldChar w:fldCharType="end"/>
          </w:r>
          <w:r>
            <w:fldChar w:fldCharType="end"/>
          </w:r>
        </w:p>
        <w:p>
          <w:pPr>
            <w:pStyle w:val="19"/>
            <w:tabs>
              <w:tab w:val="right" w:leader="dot" w:pos="8306"/>
            </w:tabs>
          </w:pPr>
          <w:r>
            <w:fldChar w:fldCharType="begin"/>
          </w:r>
          <w:r>
            <w:instrText xml:space="preserve"> HYPERLINK \l _Toc3635 </w:instrText>
          </w:r>
          <w:r>
            <w:fldChar w:fldCharType="separate"/>
          </w:r>
          <w:r>
            <w:rPr>
              <w:rFonts w:hint="eastAsia"/>
              <w:lang w:val="en-US" w:eastAsia="zh-CN"/>
            </w:rPr>
            <w:t>4. 评标原则</w:t>
          </w:r>
          <w:r>
            <w:tab/>
          </w:r>
          <w:r>
            <w:fldChar w:fldCharType="begin"/>
          </w:r>
          <w:r>
            <w:instrText xml:space="preserve"> PAGEREF _Toc3635 \h </w:instrText>
          </w:r>
          <w:r>
            <w:fldChar w:fldCharType="separate"/>
          </w:r>
          <w:r>
            <w:t>5</w:t>
          </w:r>
          <w:r>
            <w:fldChar w:fldCharType="end"/>
          </w:r>
          <w:r>
            <w:fldChar w:fldCharType="end"/>
          </w:r>
        </w:p>
        <w:p>
          <w:pPr>
            <w:pStyle w:val="19"/>
            <w:tabs>
              <w:tab w:val="right" w:leader="dot" w:pos="8306"/>
            </w:tabs>
          </w:pPr>
          <w:r>
            <w:fldChar w:fldCharType="begin"/>
          </w:r>
          <w:r>
            <w:instrText xml:space="preserve"> HYPERLINK \l _Toc12181 </w:instrText>
          </w:r>
          <w:r>
            <w:fldChar w:fldCharType="separate"/>
          </w:r>
          <w:r>
            <w:rPr>
              <w:rFonts w:hint="eastAsia"/>
              <w:lang w:val="en-US" w:eastAsia="zh-CN"/>
            </w:rPr>
            <w:t>5. 投标文件的澄清</w:t>
          </w:r>
          <w:r>
            <w:tab/>
          </w:r>
          <w:r>
            <w:fldChar w:fldCharType="begin"/>
          </w:r>
          <w:r>
            <w:instrText xml:space="preserve"> PAGEREF _Toc12181 \h </w:instrText>
          </w:r>
          <w:r>
            <w:fldChar w:fldCharType="separate"/>
          </w:r>
          <w:r>
            <w:t>5</w:t>
          </w:r>
          <w:r>
            <w:fldChar w:fldCharType="end"/>
          </w:r>
          <w:r>
            <w:fldChar w:fldCharType="end"/>
          </w:r>
        </w:p>
        <w:p>
          <w:pPr>
            <w:pStyle w:val="19"/>
            <w:tabs>
              <w:tab w:val="right" w:leader="dot" w:pos="8306"/>
            </w:tabs>
          </w:pPr>
          <w:r>
            <w:fldChar w:fldCharType="begin"/>
          </w:r>
          <w:r>
            <w:instrText xml:space="preserve"> HYPERLINK \l _Toc10697 </w:instrText>
          </w:r>
          <w:r>
            <w:fldChar w:fldCharType="separate"/>
          </w:r>
          <w:r>
            <w:rPr>
              <w:rFonts w:hint="eastAsia"/>
              <w:lang w:val="en-US" w:eastAsia="zh-CN"/>
            </w:rPr>
            <w:t>6. 评标过程的保密</w:t>
          </w:r>
          <w:r>
            <w:tab/>
          </w:r>
          <w:r>
            <w:fldChar w:fldCharType="begin"/>
          </w:r>
          <w:r>
            <w:instrText xml:space="preserve"> PAGEREF _Toc10697 \h </w:instrText>
          </w:r>
          <w:r>
            <w:fldChar w:fldCharType="separate"/>
          </w:r>
          <w:r>
            <w:t>5</w:t>
          </w:r>
          <w:r>
            <w:fldChar w:fldCharType="end"/>
          </w:r>
          <w:r>
            <w:fldChar w:fldCharType="end"/>
          </w:r>
        </w:p>
        <w:p>
          <w:pPr>
            <w:pStyle w:val="19"/>
            <w:tabs>
              <w:tab w:val="right" w:leader="dot" w:pos="8306"/>
            </w:tabs>
          </w:pPr>
          <w:r>
            <w:fldChar w:fldCharType="begin"/>
          </w:r>
          <w:r>
            <w:instrText xml:space="preserve"> HYPERLINK \l _Toc10768 </w:instrText>
          </w:r>
          <w:r>
            <w:fldChar w:fldCharType="separate"/>
          </w:r>
          <w:r>
            <w:rPr>
              <w:rFonts w:hint="eastAsia"/>
              <w:lang w:val="en-US" w:eastAsia="zh-CN"/>
            </w:rPr>
            <w:t>7. 合同授予</w:t>
          </w:r>
          <w:r>
            <w:tab/>
          </w:r>
          <w:r>
            <w:fldChar w:fldCharType="begin"/>
          </w:r>
          <w:r>
            <w:instrText xml:space="preserve"> PAGEREF _Toc10768 \h </w:instrText>
          </w:r>
          <w:r>
            <w:fldChar w:fldCharType="separate"/>
          </w:r>
          <w:r>
            <w:t>6</w:t>
          </w:r>
          <w:r>
            <w:fldChar w:fldCharType="end"/>
          </w:r>
          <w:r>
            <w:fldChar w:fldCharType="end"/>
          </w:r>
        </w:p>
        <w:p>
          <w:pPr>
            <w:pStyle w:val="19"/>
            <w:tabs>
              <w:tab w:val="right" w:leader="dot" w:pos="8306"/>
            </w:tabs>
          </w:pPr>
          <w:r>
            <w:fldChar w:fldCharType="begin"/>
          </w:r>
          <w:r>
            <w:instrText xml:space="preserve"> HYPERLINK \l _Toc32451 </w:instrText>
          </w:r>
          <w:r>
            <w:fldChar w:fldCharType="separate"/>
          </w:r>
          <w:r>
            <w:rPr>
              <w:rFonts w:hint="eastAsia"/>
              <w:lang w:val="en-US" w:eastAsia="zh-CN"/>
            </w:rPr>
            <w:t>8. 投标人须提交的资质文件</w:t>
          </w:r>
          <w:r>
            <w:tab/>
          </w:r>
          <w:r>
            <w:fldChar w:fldCharType="begin"/>
          </w:r>
          <w:r>
            <w:instrText xml:space="preserve"> PAGEREF _Toc32451 \h </w:instrText>
          </w:r>
          <w:r>
            <w:fldChar w:fldCharType="separate"/>
          </w:r>
          <w:r>
            <w:t>7</w:t>
          </w:r>
          <w:r>
            <w:fldChar w:fldCharType="end"/>
          </w:r>
          <w:r>
            <w:fldChar w:fldCharType="end"/>
          </w:r>
        </w:p>
        <w:p>
          <w:pPr>
            <w:pStyle w:val="19"/>
            <w:tabs>
              <w:tab w:val="right" w:leader="dot" w:pos="8306"/>
            </w:tabs>
          </w:pPr>
          <w:r>
            <w:fldChar w:fldCharType="begin"/>
          </w:r>
          <w:r>
            <w:instrText xml:space="preserve"> HYPERLINK \l _Toc22917 </w:instrText>
          </w:r>
          <w:r>
            <w:fldChar w:fldCharType="separate"/>
          </w:r>
          <w:r>
            <w:rPr>
              <w:rFonts w:hint="eastAsia"/>
            </w:rPr>
            <w:t>法定代表人身份证明</w:t>
          </w:r>
          <w:r>
            <w:tab/>
          </w:r>
          <w:r>
            <w:fldChar w:fldCharType="begin"/>
          </w:r>
          <w:r>
            <w:instrText xml:space="preserve"> PAGEREF _Toc22917 \h </w:instrText>
          </w:r>
          <w:r>
            <w:fldChar w:fldCharType="separate"/>
          </w:r>
          <w:r>
            <w:t>8</w:t>
          </w:r>
          <w:r>
            <w:fldChar w:fldCharType="end"/>
          </w:r>
          <w:r>
            <w:fldChar w:fldCharType="end"/>
          </w:r>
        </w:p>
        <w:p>
          <w:pPr>
            <w:pStyle w:val="19"/>
            <w:tabs>
              <w:tab w:val="right" w:leader="dot" w:pos="8306"/>
            </w:tabs>
          </w:pPr>
          <w:r>
            <w:fldChar w:fldCharType="begin"/>
          </w:r>
          <w:r>
            <w:instrText xml:space="preserve"> HYPERLINK \l _Toc29282 </w:instrText>
          </w:r>
          <w:r>
            <w:fldChar w:fldCharType="separate"/>
          </w:r>
          <w:r>
            <w:rPr>
              <w:rFonts w:hint="eastAsia"/>
            </w:rPr>
            <w:t>授权委托书</w:t>
          </w:r>
          <w:r>
            <w:tab/>
          </w:r>
          <w:r>
            <w:fldChar w:fldCharType="begin"/>
          </w:r>
          <w:r>
            <w:instrText xml:space="preserve"> PAGEREF _Toc29282 \h </w:instrText>
          </w:r>
          <w:r>
            <w:fldChar w:fldCharType="separate"/>
          </w:r>
          <w:r>
            <w:t>9</w:t>
          </w:r>
          <w:r>
            <w:fldChar w:fldCharType="end"/>
          </w:r>
          <w:r>
            <w:fldChar w:fldCharType="end"/>
          </w:r>
        </w:p>
        <w:p>
          <w:pPr>
            <w:pStyle w:val="19"/>
            <w:tabs>
              <w:tab w:val="right" w:leader="dot" w:pos="8306"/>
            </w:tabs>
          </w:pPr>
          <w:r>
            <w:fldChar w:fldCharType="begin"/>
          </w:r>
          <w:r>
            <w:instrText xml:space="preserve"> HYPERLINK \l _Toc20815 </w:instrText>
          </w:r>
          <w:r>
            <w:fldChar w:fldCharType="separate"/>
          </w:r>
          <w:r>
            <w:rPr>
              <w:rFonts w:hint="eastAsia"/>
              <w:lang w:val="en-US" w:eastAsia="zh-CN"/>
            </w:rPr>
            <w:t>承诺书</w:t>
          </w:r>
          <w:r>
            <w:tab/>
          </w:r>
          <w:r>
            <w:fldChar w:fldCharType="begin"/>
          </w:r>
          <w:r>
            <w:instrText xml:space="preserve"> PAGEREF _Toc20815 \h </w:instrText>
          </w:r>
          <w:r>
            <w:fldChar w:fldCharType="separate"/>
          </w:r>
          <w:r>
            <w:t>10</w:t>
          </w:r>
          <w:r>
            <w:fldChar w:fldCharType="end"/>
          </w:r>
          <w:r>
            <w:fldChar w:fldCharType="end"/>
          </w:r>
        </w:p>
        <w:p>
          <w:pPr>
            <w:pStyle w:val="19"/>
            <w:tabs>
              <w:tab w:val="right" w:leader="dot" w:pos="8306"/>
            </w:tabs>
          </w:pPr>
          <w:r>
            <w:fldChar w:fldCharType="begin"/>
          </w:r>
          <w:r>
            <w:instrText xml:space="preserve"> HYPERLINK \l _Toc2352 </w:instrText>
          </w:r>
          <w:r>
            <w:fldChar w:fldCharType="separate"/>
          </w:r>
          <w:r>
            <w:rPr>
              <w:rFonts w:hint="eastAsia"/>
              <w:lang w:val="en-US" w:eastAsia="zh-CN"/>
            </w:rPr>
            <w:t>9. 投标人需说明的其他内容</w:t>
          </w:r>
          <w:r>
            <w:tab/>
          </w:r>
          <w:r>
            <w:fldChar w:fldCharType="begin"/>
          </w:r>
          <w:r>
            <w:instrText xml:space="preserve"> PAGEREF _Toc2352 \h </w:instrText>
          </w:r>
          <w:r>
            <w:fldChar w:fldCharType="separate"/>
          </w:r>
          <w:r>
            <w:t>11</w:t>
          </w:r>
          <w:r>
            <w:fldChar w:fldCharType="end"/>
          </w:r>
          <w:r>
            <w:fldChar w:fldCharType="end"/>
          </w:r>
        </w:p>
        <w:p>
          <w:pPr>
            <w:pStyle w:val="17"/>
            <w:tabs>
              <w:tab w:val="right" w:leader="dot" w:pos="8306"/>
            </w:tabs>
          </w:pPr>
          <w:r>
            <w:fldChar w:fldCharType="begin"/>
          </w:r>
          <w:r>
            <w:instrText xml:space="preserve"> HYPERLINK \l _Toc12291 </w:instrText>
          </w:r>
          <w:r>
            <w:fldChar w:fldCharType="separate"/>
          </w:r>
          <w:r>
            <w:rPr>
              <w:rFonts w:hint="eastAsia"/>
            </w:rPr>
            <w:t>第</w:t>
          </w:r>
          <w:r>
            <w:rPr>
              <w:rFonts w:hint="eastAsia"/>
              <w:lang w:val="en-US" w:eastAsia="zh-CN"/>
            </w:rPr>
            <w:t>三</w:t>
          </w:r>
          <w:r>
            <w:rPr>
              <w:rFonts w:hint="eastAsia"/>
            </w:rPr>
            <w:t>章  物资需求一览表（物资采购清单）</w:t>
          </w:r>
          <w:r>
            <w:tab/>
          </w:r>
          <w:r>
            <w:fldChar w:fldCharType="begin"/>
          </w:r>
          <w:r>
            <w:instrText xml:space="preserve"> PAGEREF _Toc12291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_Toc10966 </w:instrText>
          </w:r>
          <w:r>
            <w:fldChar w:fldCharType="separate"/>
          </w:r>
          <w:r>
            <w:rPr>
              <w:rFonts w:hint="eastAsia"/>
              <w:lang w:val="en-US" w:eastAsia="zh-CN"/>
            </w:rPr>
            <w:t>附件一：第一轮报价确认书</w:t>
          </w:r>
          <w:r>
            <w:tab/>
          </w:r>
          <w:r>
            <w:fldChar w:fldCharType="begin"/>
          </w:r>
          <w:r>
            <w:instrText xml:space="preserve"> PAGEREF _Toc10966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_Toc7273 </w:instrText>
          </w:r>
          <w:r>
            <w:fldChar w:fldCharType="separate"/>
          </w:r>
          <w:r>
            <w:rPr>
              <w:rFonts w:hint="eastAsia"/>
              <w:lang w:val="en-US" w:eastAsia="zh-CN"/>
            </w:rPr>
            <w:t>附件二：第二轮终审定价确认书</w:t>
          </w:r>
          <w:r>
            <w:tab/>
          </w:r>
          <w:r>
            <w:fldChar w:fldCharType="begin"/>
          </w:r>
          <w:r>
            <w:instrText xml:space="preserve"> PAGEREF _Toc7273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_Toc20917 </w:instrText>
          </w:r>
          <w:r>
            <w:fldChar w:fldCharType="separate"/>
          </w:r>
          <w:r>
            <w:t>附件</w:t>
          </w:r>
          <w:r>
            <w:rPr>
              <w:rFonts w:hint="eastAsia"/>
              <w:lang w:val="en-US" w:eastAsia="zh-CN"/>
            </w:rPr>
            <w:t>三</w:t>
          </w:r>
          <w:r>
            <w:t>：中标通知书</w:t>
          </w:r>
          <w:r>
            <w:tab/>
          </w:r>
          <w:r>
            <w:fldChar w:fldCharType="begin"/>
          </w:r>
          <w:r>
            <w:instrText xml:space="preserve"> PAGEREF _Toc20917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_Toc17203 </w:instrText>
          </w:r>
          <w:r>
            <w:fldChar w:fldCharType="separate"/>
          </w:r>
          <w:r>
            <w:t>附件</w:t>
          </w:r>
          <w:r>
            <w:rPr>
              <w:rFonts w:hint="eastAsia"/>
              <w:lang w:val="en-US" w:eastAsia="zh-CN"/>
            </w:rPr>
            <w:t>四</w:t>
          </w:r>
          <w:r>
            <w:t>：中标结果通知书</w:t>
          </w:r>
          <w:r>
            <w:tab/>
          </w:r>
          <w:r>
            <w:fldChar w:fldCharType="begin"/>
          </w:r>
          <w:r>
            <w:instrText xml:space="preserve"> PAGEREF _Toc17203 \h </w:instrText>
          </w:r>
          <w:r>
            <w:fldChar w:fldCharType="separate"/>
          </w:r>
          <w:r>
            <w:t>16</w:t>
          </w:r>
          <w:r>
            <w:fldChar w:fldCharType="end"/>
          </w:r>
          <w:r>
            <w:fldChar w:fldCharType="end"/>
          </w:r>
        </w:p>
        <w:p>
          <w:pPr>
            <w:pStyle w:val="17"/>
            <w:tabs>
              <w:tab w:val="right" w:leader="dot" w:pos="8306"/>
            </w:tabs>
          </w:pPr>
          <w:r>
            <w:fldChar w:fldCharType="begin"/>
          </w:r>
          <w:r>
            <w:instrText xml:space="preserve"> HYPERLINK \l _Toc27720 </w:instrText>
          </w:r>
          <w:r>
            <w:fldChar w:fldCharType="separate"/>
          </w:r>
          <w:r>
            <w:rPr>
              <w:rFonts w:hint="eastAsia"/>
            </w:rPr>
            <w:t>第</w:t>
          </w:r>
          <w:r>
            <w:rPr>
              <w:rFonts w:hint="eastAsia"/>
              <w:lang w:val="en-US" w:eastAsia="zh-CN"/>
            </w:rPr>
            <w:t>四</w:t>
          </w:r>
          <w:r>
            <w:rPr>
              <w:rFonts w:hint="eastAsia"/>
            </w:rPr>
            <w:t>章 合同格式</w:t>
          </w:r>
          <w:r>
            <w:rPr>
              <w:rFonts w:hint="eastAsia"/>
              <w:lang w:val="en-US" w:eastAsia="zh-CN"/>
            </w:rPr>
            <w:t>模板</w:t>
          </w:r>
          <w:r>
            <w:tab/>
          </w:r>
          <w:r>
            <w:fldChar w:fldCharType="begin"/>
          </w:r>
          <w:r>
            <w:instrText xml:space="preserve"> PAGEREF _Toc27720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_Toc9039 </w:instrText>
          </w:r>
          <w:r>
            <w:fldChar w:fldCharType="separate"/>
          </w:r>
          <w:r>
            <w:rPr>
              <w:rFonts w:hint="eastAsia"/>
            </w:rPr>
            <w:t>附件一：采购合同</w:t>
          </w:r>
          <w:r>
            <w:tab/>
          </w:r>
          <w:r>
            <w:fldChar w:fldCharType="begin"/>
          </w:r>
          <w:r>
            <w:instrText xml:space="preserve"> PAGEREF _Toc9039 \h </w:instrText>
          </w:r>
          <w:r>
            <w:fldChar w:fldCharType="separate"/>
          </w:r>
          <w:r>
            <w:t>17</w:t>
          </w:r>
          <w:r>
            <w:fldChar w:fldCharType="end"/>
          </w:r>
          <w:r>
            <w:fldChar w:fldCharType="end"/>
          </w:r>
        </w:p>
        <w:p>
          <w:pPr>
            <w:bidi w:val="0"/>
          </w:pPr>
          <w:r>
            <w:fldChar w:fldCharType="end"/>
          </w:r>
        </w:p>
      </w:sdtContent>
    </w:sdt>
    <w:p>
      <w:pPr>
        <w:bidi w:val="0"/>
      </w:pPr>
    </w:p>
    <w:p>
      <w:pPr>
        <w:bidi w:val="0"/>
      </w:pPr>
    </w:p>
    <w:p>
      <w:pPr>
        <w:bidi w:val="0"/>
      </w:pPr>
    </w:p>
    <w:p>
      <w:pPr>
        <w:bidi w:val="0"/>
      </w:pPr>
    </w:p>
    <w:p>
      <w:pPr>
        <w:bidi w:val="0"/>
      </w:pPr>
    </w:p>
    <w:p>
      <w:pPr>
        <w:jc w:val="left"/>
        <w:outlineLvl w:val="9"/>
        <w:rPr>
          <w:rFonts w:ascii="宋体"/>
          <w:sz w:val="18"/>
          <w:szCs w:val="18"/>
        </w:rPr>
        <w:sectPr>
          <w:headerReference r:id="rId5" w:type="default"/>
          <w:pgSz w:w="11906" w:h="16838"/>
          <w:pgMar w:top="1440" w:right="1800" w:bottom="1440" w:left="1800" w:header="851" w:footer="992" w:gutter="0"/>
          <w:pgNumType w:fmt="numberInDash"/>
          <w:cols w:space="425" w:num="1"/>
          <w:docGrid w:type="lines" w:linePitch="312" w:charSpace="0"/>
        </w:sectPr>
      </w:pPr>
    </w:p>
    <w:p>
      <w:pPr>
        <w:pStyle w:val="3"/>
        <w:bidi w:val="0"/>
        <w:ind w:left="432" w:leftChars="0" w:hanging="432" w:firstLineChars="0"/>
        <w:jc w:val="center"/>
        <w:rPr>
          <w:sz w:val="17"/>
          <w:szCs w:val="17"/>
        </w:rPr>
      </w:pPr>
      <w:bookmarkStart w:id="0" w:name="_Toc16217"/>
      <w:bookmarkStart w:id="1" w:name="_Toc14670"/>
      <w:bookmarkStart w:id="2" w:name="_Toc11588"/>
      <w:bookmarkStart w:id="3" w:name="_Toc24705"/>
      <w:r>
        <w:rPr>
          <w:rFonts w:hint="eastAsia"/>
          <w:lang w:val="en-US" w:eastAsia="zh-CN"/>
        </w:rPr>
        <w:t xml:space="preserve">第一章 </w:t>
      </w:r>
      <w:bookmarkEnd w:id="0"/>
      <w:bookmarkEnd w:id="1"/>
      <w:bookmarkEnd w:id="2"/>
      <w:bookmarkStart w:id="4" w:name="_Toc17859"/>
      <w:r>
        <w:rPr>
          <w:rFonts w:hint="eastAsia"/>
          <w:lang w:val="en-US" w:eastAsia="zh-CN"/>
        </w:rPr>
        <w:t>竞争性谈判</w:t>
      </w:r>
      <w:r>
        <w:rPr>
          <w:rFonts w:hint="eastAsia"/>
        </w:rPr>
        <w:t>招标公告</w:t>
      </w:r>
      <w:bookmarkEnd w:id="3"/>
      <w:bookmarkEnd w:id="4"/>
    </w:p>
    <w:p>
      <w:pPr>
        <w:spacing w:line="440" w:lineRule="exact"/>
        <w:jc w:val="center"/>
        <w:rPr>
          <w:rFonts w:hint="eastAsia"/>
          <w:sz w:val="28"/>
          <w:szCs w:val="28"/>
        </w:rPr>
      </w:pPr>
      <w:r>
        <w:rPr>
          <w:rFonts w:hint="eastAsia"/>
          <w:sz w:val="28"/>
          <w:szCs w:val="28"/>
          <w:lang w:eastAsia="zh-CN"/>
        </w:rPr>
        <w:t>贵州建工云富集采有限责任</w:t>
      </w:r>
      <w:r>
        <w:rPr>
          <w:rFonts w:hint="eastAsia"/>
          <w:sz w:val="28"/>
          <w:szCs w:val="28"/>
        </w:rPr>
        <w:t>公司</w:t>
      </w:r>
    </w:p>
    <w:p>
      <w:pPr>
        <w:spacing w:line="440" w:lineRule="exact"/>
        <w:jc w:val="center"/>
        <w:rPr>
          <w:sz w:val="28"/>
          <w:szCs w:val="28"/>
        </w:rPr>
      </w:pPr>
      <w:r>
        <w:rPr>
          <w:rFonts w:hint="eastAsia"/>
          <w:sz w:val="28"/>
          <w:szCs w:val="28"/>
          <w:lang w:val="en-US" w:eastAsia="zh-CN"/>
        </w:rPr>
        <w:t>钢材</w:t>
      </w:r>
      <w:r>
        <w:rPr>
          <w:rFonts w:hint="eastAsia"/>
          <w:sz w:val="28"/>
          <w:szCs w:val="28"/>
        </w:rPr>
        <w:t>采购</w:t>
      </w:r>
    </w:p>
    <w:p>
      <w:pPr>
        <w:spacing w:line="440" w:lineRule="exact"/>
        <w:jc w:val="center"/>
        <w:rPr>
          <w:sz w:val="28"/>
          <w:szCs w:val="28"/>
        </w:rPr>
      </w:pPr>
      <w:r>
        <w:rPr>
          <w:rFonts w:hint="eastAsia"/>
          <w:sz w:val="28"/>
          <w:szCs w:val="28"/>
          <w:lang w:val="en-US" w:eastAsia="zh-CN"/>
        </w:rPr>
        <w:t>竞争性谈判</w:t>
      </w:r>
      <w:r>
        <w:rPr>
          <w:sz w:val="28"/>
          <w:szCs w:val="28"/>
        </w:rPr>
        <w:t>招标公告</w:t>
      </w:r>
    </w:p>
    <w:p>
      <w:pPr>
        <w:spacing w:line="440" w:lineRule="exact"/>
        <w:jc w:val="center"/>
        <w:rPr>
          <w:sz w:val="20"/>
          <w:szCs w:val="20"/>
        </w:rPr>
      </w:pPr>
      <w:r>
        <w:rPr>
          <w:rFonts w:hint="eastAsia"/>
          <w:sz w:val="20"/>
          <w:szCs w:val="20"/>
        </w:rPr>
        <w:t>招标编号</w:t>
      </w:r>
      <w:r>
        <w:rPr>
          <w:rFonts w:hint="eastAsia" w:ascii="仿宋_GB2312" w:hAnsi="仿宋_GB2312" w:eastAsia="仿宋_GB2312" w:cs="仿宋_GB2312"/>
          <w:color w:val="FF0000"/>
          <w:sz w:val="22"/>
          <w:szCs w:val="22"/>
        </w:rPr>
        <w:t>GC</w:t>
      </w:r>
      <w:r>
        <w:rPr>
          <w:rFonts w:hint="eastAsia" w:ascii="仿宋_GB2312" w:hAnsi="仿宋_GB2312" w:eastAsia="仿宋_GB2312" w:cs="仿宋_GB2312"/>
          <w:color w:val="FF0000"/>
          <w:sz w:val="22"/>
          <w:szCs w:val="22"/>
          <w:lang w:val="en-US" w:eastAsia="zh-CN"/>
        </w:rPr>
        <w:t>2022/</w:t>
      </w:r>
      <w:r>
        <w:rPr>
          <w:rFonts w:hint="eastAsia" w:ascii="仿宋_GB2312" w:hAnsi="仿宋_GB2312" w:eastAsia="仿宋_GB2312" w:cs="仿宋_GB2312"/>
          <w:color w:val="FF0000"/>
          <w:sz w:val="22"/>
          <w:szCs w:val="22"/>
        </w:rPr>
        <w:t>0</w:t>
      </w:r>
      <w:r>
        <w:rPr>
          <w:rFonts w:hint="eastAsia" w:ascii="仿宋_GB2312" w:hAnsi="仿宋_GB2312" w:eastAsia="仿宋_GB2312" w:cs="仿宋_GB2312"/>
          <w:color w:val="FF0000"/>
          <w:sz w:val="22"/>
          <w:szCs w:val="22"/>
          <w:lang w:val="en-US" w:eastAsia="zh-CN"/>
        </w:rPr>
        <w:t>7/21</w:t>
      </w:r>
      <w:r>
        <w:rPr>
          <w:rFonts w:hint="eastAsia" w:ascii="仿宋_GB2312" w:hAnsi="仿宋_GB2312" w:eastAsia="仿宋_GB2312" w:cs="仿宋_GB2312"/>
          <w:color w:val="FF0000"/>
          <w:sz w:val="22"/>
          <w:szCs w:val="22"/>
        </w:rPr>
        <w:t>-</w:t>
      </w:r>
      <w:r>
        <w:rPr>
          <w:rFonts w:hint="eastAsia" w:ascii="仿宋_GB2312" w:hAnsi="仿宋_GB2312" w:eastAsia="仿宋_GB2312" w:cs="仿宋_GB2312"/>
          <w:color w:val="FF0000"/>
          <w:sz w:val="22"/>
          <w:szCs w:val="22"/>
          <w:lang w:val="en-US" w:eastAsia="zh-CN"/>
        </w:rPr>
        <w:t>01</w:t>
      </w:r>
    </w:p>
    <w:p>
      <w:pPr>
        <w:pStyle w:val="4"/>
        <w:numPr>
          <w:ilvl w:val="0"/>
          <w:numId w:val="1"/>
        </w:numPr>
        <w:bidi w:val="0"/>
        <w:ind w:left="575" w:leftChars="0" w:hanging="575" w:firstLineChars="0"/>
        <w:jc w:val="left"/>
        <w:rPr>
          <w:lang w:val="en-US" w:eastAsia="zh-CN"/>
        </w:rPr>
      </w:pPr>
      <w:bookmarkStart w:id="5" w:name="_Toc20799"/>
      <w:bookmarkStart w:id="6" w:name="_Toc29329"/>
      <w:bookmarkStart w:id="7" w:name="_Toc274"/>
      <w:bookmarkStart w:id="8" w:name="_Toc8543"/>
      <w:r>
        <w:rPr>
          <w:lang w:val="en-US" w:eastAsia="zh-CN"/>
        </w:rPr>
        <w:t>招标条件</w:t>
      </w:r>
      <w:bookmarkEnd w:id="5"/>
      <w:bookmarkEnd w:id="6"/>
      <w:bookmarkEnd w:id="7"/>
      <w:bookmarkEnd w:id="8"/>
    </w:p>
    <w:p>
      <w:pPr>
        <w:bidi w:val="0"/>
        <w:ind w:firstLine="420" w:firstLineChars="0"/>
      </w:pPr>
      <w:r>
        <w:t>本招标招标人为</w:t>
      </w:r>
      <w:r>
        <w:rPr>
          <w:rFonts w:hint="eastAsia"/>
          <w:lang w:eastAsia="zh-CN"/>
        </w:rPr>
        <w:t>贵州建工云富集采有限责任</w:t>
      </w:r>
      <w:r>
        <w:rPr>
          <w:rFonts w:hint="eastAsia"/>
        </w:rPr>
        <w:t>公司</w:t>
      </w:r>
      <w:r>
        <w:t>，招标项目资金来自</w:t>
      </w:r>
      <w:r>
        <w:rPr>
          <w:rFonts w:hint="eastAsia"/>
        </w:rPr>
        <w:t>项目工程计量款</w:t>
      </w:r>
      <w:r>
        <w:t>。该项目已具备招标条件，现对</w:t>
      </w:r>
      <w:r>
        <w:rPr>
          <w:rFonts w:hint="eastAsia"/>
          <w:lang w:val="en-US" w:eastAsia="zh-CN"/>
        </w:rPr>
        <w:t>钢材</w:t>
      </w:r>
      <w:r>
        <w:t>采购进行公开招标。</w:t>
      </w:r>
    </w:p>
    <w:p>
      <w:pPr>
        <w:pStyle w:val="4"/>
        <w:numPr>
          <w:ilvl w:val="0"/>
          <w:numId w:val="1"/>
        </w:numPr>
        <w:bidi w:val="0"/>
        <w:ind w:left="575" w:leftChars="0" w:hanging="575" w:firstLineChars="0"/>
        <w:jc w:val="left"/>
        <w:rPr>
          <w:lang w:val="en-US" w:eastAsia="zh-CN"/>
        </w:rPr>
      </w:pPr>
      <w:bookmarkStart w:id="9" w:name="_Toc3848"/>
      <w:bookmarkStart w:id="10" w:name="_Toc3001"/>
      <w:bookmarkStart w:id="11" w:name="_Toc13864"/>
      <w:r>
        <w:rPr>
          <w:lang w:val="en-US" w:eastAsia="zh-CN"/>
        </w:rPr>
        <w:t>项目概况与招标内容</w:t>
      </w:r>
      <w:bookmarkEnd w:id="9"/>
      <w:bookmarkEnd w:id="10"/>
      <w:bookmarkEnd w:id="11"/>
    </w:p>
    <w:p>
      <w:pPr>
        <w:outlineLvl w:val="2"/>
      </w:pPr>
      <w:bookmarkStart w:id="12" w:name="_Toc18767"/>
      <w:bookmarkStart w:id="13" w:name="_Toc31743"/>
      <w:r>
        <w:rPr>
          <w:rFonts w:hint="eastAsia"/>
        </w:rPr>
        <w:t>2.1、项目概况：</w:t>
      </w:r>
      <w:bookmarkEnd w:id="12"/>
      <w:bookmarkEnd w:id="13"/>
    </w:p>
    <w:p>
      <w:pPr>
        <w:pStyle w:val="2"/>
        <w:numPr>
          <w:ilvl w:val="0"/>
          <w:numId w:val="2"/>
        </w:numPr>
        <w:spacing w:before="132"/>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 xml:space="preserve">工程名称：贵州轻工职业技术学院科技新城新校区一期建设项目  </w:t>
      </w:r>
    </w:p>
    <w:p>
      <w:pPr>
        <w:pStyle w:val="2"/>
        <w:numPr>
          <w:ilvl w:val="0"/>
          <w:numId w:val="2"/>
        </w:numPr>
        <w:spacing w:before="132"/>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 xml:space="preserve">工程地点：贵州省贵阳市贵安新区马场镇凯掌村、川心村及羊艾农场交汇处  </w:t>
      </w:r>
    </w:p>
    <w:p>
      <w:pPr>
        <w:pStyle w:val="2"/>
        <w:spacing w:before="132"/>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（二）业主单位：贵州轻工职业技术学院</w:t>
      </w:r>
    </w:p>
    <w:p>
      <w:pPr>
        <w:pStyle w:val="2"/>
        <w:spacing w:before="129"/>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（三）合同工期、合同工程造价：</w:t>
      </w:r>
    </w:p>
    <w:p>
      <w:pPr>
        <w:pStyle w:val="2"/>
        <w:spacing w:before="129"/>
        <w:ind w:firstLine="420" w:firstLineChars="200"/>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工程开工日期</w:t>
      </w:r>
      <w:r>
        <w:rPr>
          <w:rFonts w:hint="eastAsia" w:ascii="宋体" w:hAnsi="宋体" w:eastAsia="宋体" w:cs="Times New Roman"/>
          <w:sz w:val="21"/>
          <w:szCs w:val="24"/>
          <w:u w:val="single"/>
          <w:lang w:val="en-US" w:bidi="ar-SA"/>
        </w:rPr>
        <w:t xml:space="preserve"> 2022 </w:t>
      </w:r>
      <w:r>
        <w:rPr>
          <w:rFonts w:hint="eastAsia" w:ascii="宋体" w:hAnsi="宋体" w:eastAsia="宋体" w:cs="Times New Roman"/>
          <w:sz w:val="21"/>
          <w:szCs w:val="24"/>
          <w:lang w:val="en-US" w:bidi="ar-SA"/>
        </w:rPr>
        <w:t>年</w:t>
      </w:r>
      <w:r>
        <w:rPr>
          <w:rFonts w:hint="eastAsia" w:ascii="宋体" w:hAnsi="宋体" w:eastAsia="宋体" w:cs="Times New Roman"/>
          <w:sz w:val="21"/>
          <w:szCs w:val="24"/>
          <w:u w:val="single"/>
          <w:lang w:val="en-US" w:bidi="ar-SA"/>
        </w:rPr>
        <w:t xml:space="preserve"> 5 </w:t>
      </w:r>
      <w:r>
        <w:rPr>
          <w:rFonts w:hint="eastAsia" w:ascii="宋体" w:hAnsi="宋体" w:eastAsia="宋体" w:cs="Times New Roman"/>
          <w:sz w:val="21"/>
          <w:szCs w:val="24"/>
          <w:lang w:val="en-US" w:bidi="ar-SA"/>
        </w:rPr>
        <w:t>月</w:t>
      </w:r>
      <w:r>
        <w:rPr>
          <w:rFonts w:hint="eastAsia" w:ascii="宋体" w:hAnsi="宋体" w:eastAsia="宋体" w:cs="Times New Roman"/>
          <w:sz w:val="21"/>
          <w:szCs w:val="24"/>
          <w:u w:val="single"/>
          <w:lang w:val="en-US" w:bidi="ar-SA"/>
        </w:rPr>
        <w:t xml:space="preserve"> 20 </w:t>
      </w:r>
      <w:r>
        <w:rPr>
          <w:rFonts w:hint="eastAsia" w:ascii="宋体" w:hAnsi="宋体" w:eastAsia="宋体" w:cs="Times New Roman"/>
          <w:sz w:val="21"/>
          <w:szCs w:val="24"/>
          <w:lang w:val="en-US" w:bidi="ar-SA"/>
        </w:rPr>
        <w:t>日，工程竣工日期</w:t>
      </w:r>
      <w:r>
        <w:rPr>
          <w:rFonts w:hint="eastAsia" w:ascii="宋体" w:hAnsi="宋体" w:eastAsia="宋体" w:cs="Times New Roman"/>
          <w:sz w:val="21"/>
          <w:szCs w:val="24"/>
          <w:u w:val="single"/>
          <w:lang w:val="en-US" w:bidi="ar-SA"/>
        </w:rPr>
        <w:t xml:space="preserve"> 2023 </w:t>
      </w:r>
      <w:r>
        <w:rPr>
          <w:rFonts w:hint="eastAsia" w:ascii="宋体" w:hAnsi="宋体" w:eastAsia="宋体" w:cs="Times New Roman"/>
          <w:sz w:val="21"/>
          <w:szCs w:val="24"/>
          <w:lang w:val="en-US" w:bidi="ar-SA"/>
        </w:rPr>
        <w:t>年</w:t>
      </w:r>
      <w:r>
        <w:rPr>
          <w:rFonts w:hint="eastAsia" w:ascii="宋体" w:hAnsi="宋体" w:eastAsia="宋体" w:cs="Times New Roman"/>
          <w:sz w:val="21"/>
          <w:szCs w:val="24"/>
          <w:u w:val="single"/>
          <w:lang w:val="en-US" w:bidi="ar-SA"/>
        </w:rPr>
        <w:t xml:space="preserve">  6  </w:t>
      </w:r>
      <w:r>
        <w:rPr>
          <w:rFonts w:hint="eastAsia" w:ascii="宋体" w:hAnsi="宋体" w:eastAsia="宋体" w:cs="Times New Roman"/>
          <w:sz w:val="21"/>
          <w:szCs w:val="24"/>
          <w:lang w:val="en-US" w:bidi="ar-SA"/>
        </w:rPr>
        <w:t>月</w:t>
      </w:r>
      <w:r>
        <w:rPr>
          <w:rFonts w:hint="eastAsia" w:ascii="宋体" w:hAnsi="宋体" w:eastAsia="宋体" w:cs="Times New Roman"/>
          <w:sz w:val="21"/>
          <w:szCs w:val="24"/>
          <w:u w:val="single"/>
          <w:lang w:val="en-US" w:bidi="ar-SA"/>
        </w:rPr>
        <w:t xml:space="preserve">  30 </w:t>
      </w:r>
      <w:r>
        <w:rPr>
          <w:rFonts w:hint="eastAsia" w:ascii="宋体" w:hAnsi="宋体" w:eastAsia="宋体" w:cs="Times New Roman"/>
          <w:sz w:val="21"/>
          <w:szCs w:val="24"/>
          <w:lang w:val="en-US" w:bidi="ar-SA"/>
        </w:rPr>
        <w:t>日，工期时间为</w:t>
      </w:r>
      <w:r>
        <w:rPr>
          <w:rFonts w:hint="eastAsia" w:ascii="宋体" w:hAnsi="宋体" w:eastAsia="宋体" w:cs="Times New Roman"/>
          <w:sz w:val="21"/>
          <w:szCs w:val="24"/>
          <w:u w:val="single"/>
          <w:lang w:val="en-US" w:bidi="ar-SA"/>
        </w:rPr>
        <w:t xml:space="preserve"> 406 </w:t>
      </w:r>
      <w:r>
        <w:rPr>
          <w:rFonts w:hint="eastAsia" w:ascii="宋体" w:hAnsi="宋体" w:eastAsia="宋体" w:cs="Times New Roman"/>
          <w:sz w:val="21"/>
          <w:szCs w:val="24"/>
          <w:lang w:val="en-US" w:bidi="ar-SA"/>
        </w:rPr>
        <w:t>天。工程总造价</w:t>
      </w:r>
      <w:r>
        <w:rPr>
          <w:rFonts w:hint="eastAsia" w:ascii="宋体" w:hAnsi="宋体" w:eastAsia="宋体" w:cs="Times New Roman"/>
          <w:sz w:val="21"/>
          <w:szCs w:val="24"/>
          <w:u w:val="single"/>
          <w:lang w:val="en-US" w:bidi="ar-SA"/>
        </w:rPr>
        <w:t xml:space="preserve">  21  </w:t>
      </w:r>
      <w:r>
        <w:rPr>
          <w:rFonts w:hint="eastAsia" w:ascii="宋体" w:hAnsi="宋体" w:eastAsia="宋体" w:cs="Times New Roman"/>
          <w:sz w:val="21"/>
          <w:szCs w:val="24"/>
          <w:lang w:val="en-US" w:bidi="ar-SA"/>
        </w:rPr>
        <w:t>亿元</w:t>
      </w:r>
    </w:p>
    <w:p>
      <w:pPr>
        <w:pStyle w:val="2"/>
        <w:spacing w:before="156" w:beforeLines="50"/>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（四）工程概括：</w:t>
      </w:r>
    </w:p>
    <w:p>
      <w:pPr>
        <w:ind w:firstLine="420"/>
        <w:rPr>
          <w:rFonts w:hint="eastAsia"/>
        </w:rPr>
      </w:pPr>
      <w:r>
        <w:rPr>
          <w:rFonts w:hint="eastAsia"/>
        </w:rPr>
        <w:t>建设单位：贵州轻工职业技术学院</w:t>
      </w:r>
    </w:p>
    <w:p>
      <w:pPr>
        <w:ind w:firstLine="420"/>
        <w:rPr>
          <w:rFonts w:hint="eastAsia"/>
        </w:rPr>
      </w:pPr>
      <w:r>
        <w:rPr>
          <w:rFonts w:hint="eastAsia"/>
        </w:rPr>
        <w:t>代建单位：贵阳市公共交通投资运营集团有限公司</w:t>
      </w:r>
    </w:p>
    <w:p>
      <w:pPr>
        <w:ind w:firstLine="420"/>
        <w:rPr>
          <w:rFonts w:hint="eastAsia"/>
        </w:rPr>
      </w:pPr>
      <w:r>
        <w:rPr>
          <w:rFonts w:hint="eastAsia"/>
        </w:rPr>
        <w:t>监理单位：贵州建工监理咨询有限公司、三维建设工程咨询有限公司</w:t>
      </w:r>
    </w:p>
    <w:p>
      <w:pPr>
        <w:ind w:firstLine="420"/>
        <w:rPr>
          <w:rFonts w:hint="eastAsia"/>
        </w:rPr>
      </w:pPr>
      <w:r>
        <w:rPr>
          <w:rFonts w:hint="eastAsia"/>
        </w:rPr>
        <w:t>设计单位：贵州省建筑设计研究院有限责任公司</w:t>
      </w:r>
    </w:p>
    <w:p>
      <w:pPr>
        <w:ind w:firstLine="420"/>
        <w:rPr>
          <w:rFonts w:hint="eastAsia"/>
        </w:rPr>
      </w:pPr>
      <w:r>
        <w:rPr>
          <w:rFonts w:hint="eastAsia"/>
        </w:rPr>
        <w:t>施工单位：贵州建工集团有限公司</w:t>
      </w:r>
    </w:p>
    <w:p>
      <w:pPr>
        <w:bidi w:val="0"/>
        <w:outlineLvl w:val="2"/>
        <w:rPr>
          <w:rFonts w:ascii="Times New Roman" w:hAnsi="Times New Roman" w:eastAsia="宋体" w:cs="Times New Roman"/>
        </w:rPr>
      </w:pPr>
      <w:bookmarkStart w:id="14" w:name="_Toc16087"/>
      <w:r>
        <w:rPr>
          <w:rFonts w:hint="eastAsia" w:cs="Times New Roman"/>
          <w:lang w:val="en-US" w:eastAsia="zh-CN"/>
        </w:rPr>
        <w:t>2.2、</w:t>
      </w:r>
      <w:r>
        <w:rPr>
          <w:rFonts w:ascii="Times New Roman" w:hAnsi="Times New Roman" w:eastAsia="宋体" w:cs="Times New Roman"/>
        </w:rPr>
        <w:t>招标内容：</w:t>
      </w:r>
      <w:bookmarkEnd w:id="14"/>
    </w:p>
    <w:p>
      <w:pPr>
        <w:ind w:firstLine="420"/>
      </w:pPr>
      <w:r>
        <w:rPr>
          <w:rFonts w:hint="eastAsia"/>
        </w:rPr>
        <w:t>本次对</w:t>
      </w:r>
      <w:r>
        <w:rPr>
          <w:rFonts w:hint="eastAsia"/>
          <w:u w:val="single"/>
        </w:rPr>
        <w:t xml:space="preserve"> </w:t>
      </w:r>
      <w:r>
        <w:rPr>
          <w:u w:val="single"/>
        </w:rPr>
        <w:t xml:space="preserve"> </w:t>
      </w:r>
      <w:r>
        <w:rPr>
          <w:rFonts w:hint="eastAsia" w:ascii="宋体" w:hAnsi="宋体"/>
          <w:u w:val="single"/>
        </w:rPr>
        <w:t>贵州轻工职业技术学院</w:t>
      </w:r>
      <w:r>
        <w:rPr>
          <w:rFonts w:hint="eastAsia"/>
          <w:u w:val="single"/>
        </w:rPr>
        <w:t xml:space="preserve">项目 </w:t>
      </w:r>
      <w:r>
        <w:rPr>
          <w:u w:val="single"/>
        </w:rPr>
        <w:t xml:space="preserve"> </w:t>
      </w:r>
      <w:r>
        <w:rPr>
          <w:rFonts w:hint="eastAsia"/>
        </w:rPr>
        <w:t>项目需求的钢材进行采购招标；</w:t>
      </w:r>
    </w:p>
    <w:p>
      <w:pPr>
        <w:bidi w:val="0"/>
        <w:ind w:firstLine="420" w:firstLineChars="0"/>
        <w:rPr>
          <w:rFonts w:ascii="Times New Roman" w:hAnsi="Times New Roman" w:eastAsia="宋体" w:cs="Times New Roman"/>
        </w:rPr>
      </w:pPr>
      <w:r>
        <w:rPr>
          <w:rFonts w:ascii="Times New Roman" w:hAnsi="Times New Roman" w:eastAsia="宋体" w:cs="Times New Roman"/>
          <w:lang w:val="en-US" w:eastAsia="zh-CN"/>
        </w:rPr>
        <w:t>根据招标人提供的</w:t>
      </w:r>
      <w:r>
        <w:rPr>
          <w:rFonts w:hint="eastAsia" w:ascii="Times New Roman" w:hAnsi="Times New Roman" w:eastAsia="宋体" w:cs="Times New Roman"/>
        </w:rPr>
        <w:t>项目需求计划预估本次招标采购量约</w:t>
      </w:r>
      <w:r>
        <w:rPr>
          <w:rFonts w:hint="eastAsia" w:ascii="Times New Roman" w:hAnsi="Times New Roman" w:eastAsia="宋体" w:cs="Times New Roman"/>
          <w:u w:val="single"/>
          <w:lang w:val="en-US" w:eastAsia="zh-CN"/>
        </w:rPr>
        <w:t xml:space="preserve">  </w:t>
      </w:r>
      <w:r>
        <w:rPr>
          <w:rFonts w:hint="eastAsia" w:cs="Times New Roman"/>
          <w:u w:val="single"/>
          <w:lang w:val="en-US" w:eastAsia="zh-CN"/>
        </w:rPr>
        <w:t>13000</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吨</w:t>
      </w:r>
      <w:r>
        <w:rPr>
          <w:rFonts w:hint="eastAsia" w:ascii="Times New Roman" w:hAnsi="Times New Roman" w:eastAsia="宋体" w:cs="Times New Roman"/>
        </w:rPr>
        <w:t>（详见招标文件第</w:t>
      </w:r>
      <w:r>
        <w:rPr>
          <w:rFonts w:hint="eastAsia" w:ascii="Times New Roman" w:hAnsi="Times New Roman" w:eastAsia="宋体" w:cs="Times New Roman"/>
          <w:lang w:val="en-US" w:eastAsia="zh-CN"/>
        </w:rPr>
        <w:t>四</w:t>
      </w:r>
      <w:r>
        <w:rPr>
          <w:rFonts w:hint="eastAsia" w:ascii="Times New Roman" w:hAnsi="Times New Roman" w:eastAsia="宋体" w:cs="Times New Roman"/>
        </w:rPr>
        <w:t>章“物资需求一览表”），此数量仅作为评标和签订</w:t>
      </w:r>
      <w:r>
        <w:rPr>
          <w:rFonts w:hint="eastAsia" w:ascii="Times New Roman" w:hAnsi="Times New Roman" w:eastAsia="宋体" w:cs="Times New Roman"/>
          <w:lang w:val="en-US" w:eastAsia="zh-CN"/>
        </w:rPr>
        <w:t>采购合同</w:t>
      </w:r>
      <w:r>
        <w:rPr>
          <w:rFonts w:hint="eastAsia" w:ascii="Times New Roman" w:hAnsi="Times New Roman" w:eastAsia="宋体" w:cs="Times New Roman"/>
        </w:rPr>
        <w:t>数量的依据，最终供货结算数量的增减丝毫不影响投标报价的效力）</w:t>
      </w:r>
    </w:p>
    <w:p>
      <w:pPr>
        <w:bidi w:val="0"/>
        <w:outlineLvl w:val="2"/>
        <w:rPr>
          <w:rFonts w:hint="eastAsia" w:cs="Times New Roman"/>
          <w:lang w:val="en-US" w:eastAsia="zh-CN"/>
        </w:rPr>
      </w:pPr>
      <w:bookmarkStart w:id="15" w:name="_Toc9897"/>
      <w:r>
        <w:rPr>
          <w:rFonts w:hint="eastAsia" w:cs="Times New Roman"/>
          <w:lang w:val="en-US" w:eastAsia="zh-CN"/>
        </w:rPr>
        <w:t>2.3、招标使用方式：</w:t>
      </w:r>
      <w:bookmarkEnd w:id="15"/>
    </w:p>
    <w:p>
      <w:pPr>
        <w:bidi w:val="0"/>
        <w:ind w:firstLine="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本次根据地区需求情况，通过招标方式确定质量、价格和服务优的3家供应商；公司与3家中标供应商签订采购合同。</w:t>
      </w:r>
    </w:p>
    <w:p>
      <w:pPr>
        <w:bidi w:val="0"/>
        <w:ind w:firstLine="420" w:firstLineChars="0"/>
        <w:rPr>
          <w:rFonts w:ascii="Times New Roman" w:hAnsi="Times New Roman" w:eastAsia="宋体" w:cs="Times New Roman"/>
          <w:lang w:val="en-US" w:eastAsia="zh-CN"/>
        </w:rPr>
      </w:pPr>
      <w:r>
        <w:rPr>
          <w:rFonts w:hint="eastAsia" w:ascii="Times New Roman" w:hAnsi="Times New Roman" w:eastAsia="宋体" w:cs="Times New Roman"/>
          <w:lang w:val="en-US" w:eastAsia="zh-CN"/>
        </w:rPr>
        <w:t>投标人参与本次投标，表示已充分接受招标人对地区位置、规格型号及采购数量的所有约定；且已足够了解各项风险和义务，承诺依据招标约定的价格机制执行具体工程施工项目的供应，履约供应商责任。</w:t>
      </w:r>
    </w:p>
    <w:p>
      <w:pPr>
        <w:bidi w:val="0"/>
        <w:ind w:firstLine="420" w:firstLineChars="0"/>
        <w:rPr>
          <w:rFonts w:ascii="Times New Roman" w:hAnsi="Times New Roman" w:eastAsia="宋体" w:cs="Times New Roman"/>
          <w:lang w:val="en-US" w:eastAsia="zh-CN"/>
        </w:rPr>
      </w:pPr>
      <w:r>
        <w:rPr>
          <w:rFonts w:hint="eastAsia" w:ascii="Times New Roman" w:hAnsi="Times New Roman" w:eastAsia="宋体" w:cs="Times New Roman"/>
          <w:lang w:val="en-US" w:eastAsia="zh-CN"/>
        </w:rPr>
        <w:t>供货地点为本次招标项目部，采购合同有效期为该项目的整个合同期。</w:t>
      </w:r>
    </w:p>
    <w:p>
      <w:pPr>
        <w:pStyle w:val="4"/>
        <w:numPr>
          <w:ilvl w:val="0"/>
          <w:numId w:val="1"/>
        </w:numPr>
        <w:bidi w:val="0"/>
        <w:ind w:left="575" w:leftChars="0" w:hanging="575" w:firstLineChars="0"/>
        <w:jc w:val="left"/>
        <w:rPr>
          <w:rFonts w:hint="eastAsia"/>
          <w:lang w:val="en-US" w:eastAsia="zh-CN"/>
        </w:rPr>
      </w:pPr>
      <w:bookmarkStart w:id="16" w:name="_Toc25323"/>
      <w:bookmarkStart w:id="17" w:name="_Toc21973"/>
      <w:bookmarkStart w:id="18" w:name="_Toc29085"/>
      <w:bookmarkStart w:id="19" w:name="_Toc30417"/>
      <w:r>
        <w:rPr>
          <w:rFonts w:hint="eastAsia"/>
          <w:lang w:val="en-US" w:eastAsia="zh-CN"/>
        </w:rPr>
        <w:t>投标人资格要求</w:t>
      </w:r>
      <w:bookmarkEnd w:id="16"/>
      <w:bookmarkEnd w:id="17"/>
      <w:bookmarkEnd w:id="18"/>
      <w:bookmarkEnd w:id="19"/>
    </w:p>
    <w:p>
      <w:pPr>
        <w:bidi w:val="0"/>
        <w:ind w:firstLine="420" w:firstLineChars="0"/>
        <w:rPr>
          <w:rFonts w:hint="eastAsia"/>
          <w:lang w:val="en-US" w:eastAsia="zh-CN"/>
        </w:rPr>
      </w:pPr>
      <w:r>
        <w:rPr>
          <w:rFonts w:hint="eastAsia"/>
          <w:lang w:val="en-US" w:eastAsia="zh-CN"/>
        </w:rPr>
        <w:t>3.1、本次招标要求投标人：</w:t>
      </w:r>
    </w:p>
    <w:p>
      <w:pPr>
        <w:bidi w:val="0"/>
        <w:ind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3.1.1、营业范围要求：投标人必须经国家工商、税务机关登记注册，并符合投标项目的生产、供应许可经营范围，能独立承担民事责任，具有独立法人资格，注册资金不得少于</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000万元。</w:t>
      </w:r>
    </w:p>
    <w:p>
      <w:pPr>
        <w:bidi w:val="0"/>
        <w:ind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3.1.2、供货业绩要求：具有 2019年～2021至今在贵阳市钢材供应的业绩，并能提供相关证明材料（</w:t>
      </w:r>
      <w:r>
        <w:rPr>
          <w:rFonts w:hint="eastAsia" w:ascii="宋体" w:hAnsi="宋体" w:eastAsia="宋体" w:cs="宋体"/>
          <w:i w:val="0"/>
          <w:color w:val="auto"/>
          <w:kern w:val="0"/>
          <w:sz w:val="20"/>
          <w:szCs w:val="20"/>
          <w:highlight w:val="none"/>
          <w:u w:val="none"/>
          <w:lang w:val="en-US" w:eastAsia="zh-CN" w:bidi="ar"/>
        </w:rPr>
        <w:t>与贵州建工集团各</w:t>
      </w:r>
      <w:r>
        <w:rPr>
          <w:rFonts w:hint="eastAsia" w:ascii="宋体" w:hAnsi="宋体" w:cs="宋体"/>
          <w:i w:val="0"/>
          <w:color w:val="auto"/>
          <w:kern w:val="0"/>
          <w:sz w:val="20"/>
          <w:szCs w:val="20"/>
          <w:highlight w:val="none"/>
          <w:u w:val="none"/>
          <w:lang w:val="en-US" w:eastAsia="zh-CN" w:bidi="ar"/>
        </w:rPr>
        <w:t>分子公司</w:t>
      </w:r>
      <w:r>
        <w:rPr>
          <w:rFonts w:hint="eastAsia" w:ascii="宋体" w:hAnsi="宋体" w:eastAsia="宋体" w:cs="宋体"/>
          <w:i w:val="0"/>
          <w:color w:val="auto"/>
          <w:kern w:val="0"/>
          <w:sz w:val="20"/>
          <w:szCs w:val="20"/>
          <w:highlight w:val="none"/>
          <w:u w:val="none"/>
          <w:lang w:val="en-US" w:eastAsia="zh-CN" w:bidi="ar"/>
        </w:rPr>
        <w:t>或中字头建工企业有2年或3个项目以上的良好合作历史</w:t>
      </w:r>
      <w:r>
        <w:rPr>
          <w:rFonts w:hint="eastAsia" w:ascii="宋体" w:hAnsi="宋体" w:cs="宋体"/>
          <w:i w:val="0"/>
          <w:color w:val="auto"/>
          <w:kern w:val="0"/>
          <w:sz w:val="20"/>
          <w:szCs w:val="20"/>
          <w:highlight w:val="none"/>
          <w:u w:val="none"/>
          <w:lang w:val="en-US" w:eastAsia="zh-CN" w:bidi="ar"/>
        </w:rPr>
        <w:t>，</w:t>
      </w:r>
      <w:r>
        <w:rPr>
          <w:rFonts w:hint="eastAsia" w:ascii="Times New Roman" w:hAnsi="Times New Roman" w:eastAsia="宋体" w:cs="Times New Roman"/>
          <w:color w:val="auto"/>
          <w:highlight w:val="none"/>
          <w:lang w:val="en-US" w:eastAsia="zh-CN"/>
        </w:rPr>
        <w:t>单笔合同额不低于</w:t>
      </w:r>
      <w:r>
        <w:rPr>
          <w:rFonts w:hint="eastAsia" w:cs="Times New Roman"/>
          <w:color w:val="FF0000"/>
          <w:highlight w:val="none"/>
          <w:lang w:val="en-US" w:eastAsia="zh-CN"/>
        </w:rPr>
        <w:t>1000</w:t>
      </w:r>
      <w:r>
        <w:rPr>
          <w:rFonts w:hint="eastAsia" w:ascii="Times New Roman" w:hAnsi="Times New Roman" w:eastAsia="宋体" w:cs="Times New Roman"/>
          <w:color w:val="FF0000"/>
          <w:highlight w:val="none"/>
          <w:lang w:val="en-US" w:eastAsia="zh-CN"/>
        </w:rPr>
        <w:t>万元</w:t>
      </w:r>
      <w:r>
        <w:rPr>
          <w:rFonts w:hint="eastAsia" w:ascii="Times New Roman" w:hAnsi="Times New Roman" w:eastAsia="宋体" w:cs="Times New Roman"/>
          <w:color w:val="auto"/>
          <w:highlight w:val="none"/>
          <w:lang w:val="en-US" w:eastAsia="zh-CN"/>
        </w:rPr>
        <w:t>的供货业绩至少3份）。</w:t>
      </w:r>
    </w:p>
    <w:p>
      <w:pPr>
        <w:bidi w:val="0"/>
        <w:ind w:firstLine="420" w:firstLineChars="0"/>
        <w:rPr>
          <w:rFonts w:hint="eastAsia" w:ascii="Times New Roman" w:hAnsi="Times New Roman" w:eastAsia="宋体" w:cs="Times New Roman"/>
          <w:color w:val="FF0000"/>
          <w:highlight w:val="none"/>
          <w:lang w:val="en-US" w:eastAsia="zh-CN"/>
        </w:rPr>
      </w:pPr>
      <w:r>
        <w:rPr>
          <w:rFonts w:hint="eastAsia" w:ascii="Times New Roman" w:hAnsi="Times New Roman" w:eastAsia="宋体" w:cs="Times New Roman"/>
          <w:color w:val="auto"/>
          <w:highlight w:val="none"/>
          <w:lang w:val="en-US" w:eastAsia="zh-CN"/>
        </w:rPr>
        <w:t>3.1.</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、财务能力要求：2019-2021年企业营业收入平均</w:t>
      </w:r>
      <w:r>
        <w:rPr>
          <w:rFonts w:hint="eastAsia" w:cs="Times New Roman"/>
          <w:color w:val="auto"/>
          <w:highlight w:val="none"/>
          <w:lang w:val="en-US" w:eastAsia="zh-CN"/>
        </w:rPr>
        <w:t>6000万</w:t>
      </w:r>
      <w:r>
        <w:rPr>
          <w:rFonts w:hint="eastAsia" w:ascii="Times New Roman" w:hAnsi="Times New Roman" w:eastAsia="宋体" w:cs="Times New Roman"/>
          <w:color w:val="auto"/>
          <w:highlight w:val="none"/>
          <w:lang w:val="en-US" w:eastAsia="zh-CN"/>
        </w:rPr>
        <w:t>元以上</w:t>
      </w:r>
      <w:r>
        <w:rPr>
          <w:rFonts w:hint="eastAsia" w:cs="Times New Roman"/>
          <w:color w:val="auto"/>
          <w:highlight w:val="none"/>
          <w:lang w:val="en-US" w:eastAsia="zh-CN"/>
        </w:rPr>
        <w:t>（含6000万）</w:t>
      </w:r>
      <w:r>
        <w:rPr>
          <w:rFonts w:hint="eastAsia" w:ascii="Times New Roman" w:hAnsi="Times New Roman" w:eastAsia="宋体" w:cs="Times New Roman"/>
          <w:color w:val="auto"/>
          <w:highlight w:val="none"/>
          <w:lang w:val="en-US" w:eastAsia="zh-CN"/>
        </w:rPr>
        <w:t>。投标人须提供2019-2021年连续三年经会计师事务所审计的财务报告及报表、审计报告</w:t>
      </w:r>
      <w:r>
        <w:rPr>
          <w:rFonts w:hint="eastAsia" w:cs="Times New Roman"/>
          <w:color w:val="FF0000"/>
          <w:highlight w:val="none"/>
          <w:lang w:val="en-US" w:eastAsia="zh-CN"/>
        </w:rPr>
        <w:t>（若没有，可提供税务认定的财务报表）</w:t>
      </w:r>
      <w:r>
        <w:rPr>
          <w:rFonts w:hint="eastAsia" w:ascii="Times New Roman" w:hAnsi="Times New Roman" w:eastAsia="宋体" w:cs="Times New Roman"/>
          <w:color w:val="FF0000"/>
          <w:highlight w:val="none"/>
          <w:lang w:val="en-US" w:eastAsia="zh-CN"/>
        </w:rPr>
        <w:t>。</w:t>
      </w:r>
    </w:p>
    <w:p>
      <w:pPr>
        <w:bidi w:val="0"/>
        <w:ind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履约信用要求：投标人须具有良好的履行合同能力并有对应的记录；投标人在以往履行供应合同过程中，没有任何不良记录；投标人没有弄虚作假、串通投标或其它方式骗取合同的不良行为。提供中国执行信息公开网、“信用中国”网站中无失信证明（页面截图，如果网站信息有与事实不一致的，提供销号证明）；如果有其他诉讼的，请应说明相关情况，并附法院或仲裁机构作出的判决、裁决等有关法律文书复印件；近三年与贵州建工集团及其所属单位未发生纠纷。</w:t>
      </w:r>
    </w:p>
    <w:p>
      <w:pPr>
        <w:bidi w:val="0"/>
        <w:ind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、质量保证要求：投标产品生产商已获得ISO9001体系认证，并提供相关原材料及产品的2021年度的市级以上检测机构出具的检测报告。</w:t>
      </w:r>
    </w:p>
    <w:p>
      <w:pPr>
        <w:bidi w:val="0"/>
        <w:ind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 本次招标只接受生产商</w:t>
      </w:r>
      <w:r>
        <w:rPr>
          <w:rFonts w:hint="eastAsia" w:cs="Times New Roman"/>
          <w:color w:val="auto"/>
          <w:highlight w:val="none"/>
          <w:lang w:val="en-US" w:eastAsia="zh-CN"/>
        </w:rPr>
        <w:t>及经销商</w:t>
      </w:r>
      <w:r>
        <w:rPr>
          <w:rFonts w:hint="eastAsia" w:ascii="Times New Roman" w:hAnsi="Times New Roman" w:eastAsia="宋体" w:cs="Times New Roman"/>
          <w:color w:val="auto"/>
          <w:highlight w:val="none"/>
          <w:lang w:val="en-US" w:eastAsia="zh-CN"/>
        </w:rPr>
        <w:t>投标；不接受组成联合体投标。</w:t>
      </w:r>
    </w:p>
    <w:p>
      <w:pPr>
        <w:bidi w:val="0"/>
        <w:ind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、单位负责人为同一人或者存在控股、管理关系的不同单位，不得参加同一包件的投标，否则相关投标均被否决。</w:t>
      </w:r>
    </w:p>
    <w:p>
      <w:pPr>
        <w:bidi w:val="0"/>
        <w:ind w:firstLine="420" w:firstLineChars="0"/>
        <w:rPr>
          <w:rFonts w:hint="default" w:ascii="宋体" w:hAnsiTheme="minorHAnsi" w:cstheme="minorBidi"/>
          <w:kern w:val="0"/>
          <w:szCs w:val="21"/>
          <w:highlight w:val="none"/>
          <w:lang w:val="en-US" w:eastAsia="zh-CN"/>
        </w:rPr>
      </w:pPr>
      <w:r>
        <w:rPr>
          <w:rFonts w:hint="eastAsia" w:ascii="Times New Roman" w:hAnsi="Times New Roman" w:eastAsia="宋体" w:cs="Times New Roman"/>
          <w:color w:val="auto"/>
          <w:highlight w:val="none"/>
          <w:lang w:val="en-US" w:eastAsia="zh-CN"/>
        </w:rPr>
        <w:t>3.1.</w:t>
      </w:r>
      <w:r>
        <w:rPr>
          <w:rFonts w:hint="eastAsia" w:cs="Times New Roman"/>
          <w:color w:val="auto"/>
          <w:highlight w:val="none"/>
          <w:lang w:val="en-US" w:eastAsia="zh-CN"/>
        </w:rPr>
        <w:t>8</w:t>
      </w:r>
      <w:r>
        <w:rPr>
          <w:rFonts w:hint="eastAsia" w:ascii="Times New Roman" w:hAnsi="Times New Roman" w:eastAsia="宋体" w:cs="Times New Roman"/>
          <w:color w:val="auto"/>
          <w:highlight w:val="none"/>
          <w:lang w:val="en-US" w:eastAsia="zh-CN"/>
        </w:rPr>
        <w:t>、投标单位必须具备供货贵州</w:t>
      </w:r>
      <w:r>
        <w:rPr>
          <w:rFonts w:hint="eastAsia" w:cs="Times New Roman"/>
          <w:color w:val="auto"/>
          <w:highlight w:val="none"/>
          <w:lang w:val="en-US" w:eastAsia="zh-CN"/>
        </w:rPr>
        <w:t>省</w:t>
      </w:r>
      <w:r>
        <w:rPr>
          <w:rFonts w:hint="eastAsia" w:ascii="Times New Roman" w:hAnsi="Times New Roman" w:eastAsia="宋体" w:cs="Times New Roman"/>
          <w:color w:val="auto"/>
          <w:highlight w:val="none"/>
          <w:lang w:val="en-US" w:eastAsia="zh-CN"/>
        </w:rPr>
        <w:t>全</w:t>
      </w:r>
      <w:r>
        <w:rPr>
          <w:rFonts w:hint="eastAsia" w:cs="Times New Roman"/>
          <w:color w:val="auto"/>
          <w:highlight w:val="none"/>
          <w:lang w:val="en-US" w:eastAsia="zh-CN"/>
        </w:rPr>
        <w:t>省</w:t>
      </w:r>
      <w:r>
        <w:rPr>
          <w:rFonts w:hint="eastAsia" w:ascii="Times New Roman" w:hAnsi="Times New Roman" w:eastAsia="宋体" w:cs="Times New Roman"/>
          <w:color w:val="auto"/>
          <w:highlight w:val="none"/>
          <w:lang w:val="en-US" w:eastAsia="zh-CN"/>
        </w:rPr>
        <w:t xml:space="preserve">供货能力。 </w:t>
      </w:r>
      <w:r>
        <w:rPr>
          <w:rFonts w:hint="eastAsia" w:ascii="仿宋" w:hAnsi="仿宋" w:eastAsia="仿宋" w:cs="仿宋"/>
          <w:color w:val="000000"/>
          <w:kern w:val="0"/>
          <w:sz w:val="24"/>
          <w:highlight w:val="none"/>
          <w:lang w:bidi="ar"/>
        </w:rPr>
        <w:t xml:space="preserve"> </w:t>
      </w:r>
    </w:p>
    <w:p>
      <w:pPr>
        <w:pStyle w:val="4"/>
        <w:bidi w:val="0"/>
        <w:ind w:left="575" w:leftChars="0" w:hanging="575" w:firstLineChars="0"/>
        <w:jc w:val="left"/>
        <w:rPr>
          <w:rFonts w:hint="eastAsia"/>
          <w:lang w:val="en-US" w:eastAsia="zh-CN"/>
        </w:rPr>
      </w:pPr>
      <w:bookmarkStart w:id="20" w:name="_Toc1574"/>
      <w:bookmarkStart w:id="21" w:name="_Toc20522"/>
      <w:bookmarkStart w:id="22" w:name="_Toc9800"/>
      <w:bookmarkStart w:id="23" w:name="_Toc27997"/>
      <w:r>
        <w:rPr>
          <w:rFonts w:hint="eastAsia"/>
          <w:lang w:val="en-US" w:eastAsia="zh-CN"/>
        </w:rPr>
        <w:t>4. 招标文件的获取</w:t>
      </w:r>
      <w:bookmarkEnd w:id="20"/>
      <w:bookmarkEnd w:id="21"/>
      <w:bookmarkEnd w:id="22"/>
      <w:bookmarkEnd w:id="23"/>
    </w:p>
    <w:p>
      <w:pPr>
        <w:bidi w:val="0"/>
        <w:ind w:firstLine="420" w:firstLineChars="0"/>
        <w:rPr>
          <w:rFonts w:hint="eastAsia" w:ascii="Times New Roman" w:hAnsi="Times New Roman" w:eastAsia="宋体" w:cs="Times New Roman"/>
          <w:lang w:val="en-US" w:eastAsia="zh-CN"/>
        </w:rPr>
      </w:pPr>
      <w:r>
        <w:rPr>
          <w:rFonts w:hint="eastAsia" w:ascii="Times New Roman" w:hAnsi="Times New Roman" w:eastAsia="宋体" w:cs="Times New Roman"/>
          <w:color w:val="FF0000"/>
          <w:highlight w:val="none"/>
          <w:lang w:val="en-US" w:eastAsia="zh-CN"/>
        </w:rPr>
        <w:t>凡有意参加投标者，请于</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2022</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7</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月</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21</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日</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16:00</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时至</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2022</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7</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月</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26</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日</w:t>
      </w:r>
      <w:r>
        <w:rPr>
          <w:rFonts w:hint="eastAsia" w:ascii="宋体" w:hAnsi="宋体" w:cs="Times New Roman"/>
          <w:color w:val="FF0000"/>
          <w:kern w:val="2"/>
          <w:sz w:val="21"/>
          <w:szCs w:val="24"/>
          <w:highlight w:val="none"/>
          <w:u w:val="single"/>
          <w:lang w:val="en-US" w:eastAsia="zh-CN" w:bidi="ar-SA"/>
        </w:rPr>
        <w:t>12:00</w:t>
      </w:r>
      <w:r>
        <w:rPr>
          <w:rFonts w:hint="eastAsia" w:ascii="Times New Roman" w:hAnsi="Times New Roman" w:eastAsia="宋体" w:cs="Times New Roman"/>
          <w:color w:val="FF0000"/>
          <w:highlight w:val="none"/>
          <w:lang w:val="en-US" w:eastAsia="zh-CN"/>
        </w:rPr>
        <w:t>时（北京时间，下同），登录</w:t>
      </w:r>
      <w:r>
        <w:rPr>
          <w:rFonts w:hint="eastAsia" w:ascii="Times New Roman" w:hAnsi="Times New Roman" w:eastAsia="宋体" w:cs="Times New Roman"/>
          <w:color w:val="FF0000"/>
          <w:highlight w:val="none"/>
          <w:u w:val="single"/>
          <w:lang w:val="en-US" w:eastAsia="zh-CN"/>
        </w:rPr>
        <w:t xml:space="preserve"> 贵州建工云富集采中心  </w:t>
      </w:r>
      <w:r>
        <w:rPr>
          <w:rFonts w:hint="eastAsia" w:ascii="Times New Roman" w:hAnsi="Times New Roman" w:eastAsia="宋体" w:cs="Times New Roman"/>
          <w:color w:val="FF0000"/>
          <w:highlight w:val="none"/>
          <w:lang w:val="en-US" w:eastAsia="zh-CN"/>
        </w:rPr>
        <w:t>信息系统（网址</w:t>
      </w:r>
      <w:r>
        <w:rPr>
          <w:rFonts w:hint="eastAsia" w:ascii="Times New Roman" w:hAnsi="Times New Roman" w:eastAsia="宋体" w:cs="Times New Roman"/>
          <w:color w:val="FF0000"/>
          <w:highlight w:val="none"/>
          <w:u w:val="single"/>
          <w:lang w:val="en-US" w:eastAsia="zh-CN"/>
        </w:rPr>
        <w:t xml:space="preserve">  https://www.gzjgyf.com/  </w:t>
      </w:r>
      <w:r>
        <w:rPr>
          <w:rFonts w:hint="eastAsia" w:ascii="Times New Roman" w:hAnsi="Times New Roman" w:eastAsia="宋体" w:cs="Times New Roman"/>
          <w:color w:val="FF0000"/>
          <w:highlight w:val="none"/>
          <w:lang w:val="en-US" w:eastAsia="zh-CN"/>
        </w:rPr>
        <w:t>）</w:t>
      </w:r>
      <w:r>
        <w:rPr>
          <w:rFonts w:hint="eastAsia" w:cs="Times New Roman"/>
          <w:color w:val="FF0000"/>
          <w:highlight w:val="none"/>
          <w:lang w:val="en-US" w:eastAsia="zh-CN"/>
        </w:rPr>
        <w:t>网页首页“通知公告”内，</w:t>
      </w:r>
      <w:r>
        <w:rPr>
          <w:rFonts w:hint="eastAsia" w:ascii="Times New Roman" w:hAnsi="Times New Roman" w:eastAsia="宋体" w:cs="Times New Roman"/>
          <w:color w:val="FF0000"/>
          <w:highlight w:val="none"/>
          <w:lang w:val="en-US" w:eastAsia="zh-CN"/>
        </w:rPr>
        <w:t>下载电子招标文件。</w:t>
      </w:r>
    </w:p>
    <w:p>
      <w:pPr>
        <w:pStyle w:val="4"/>
        <w:numPr>
          <w:ilvl w:val="0"/>
          <w:numId w:val="0"/>
        </w:numPr>
        <w:bidi w:val="0"/>
        <w:ind w:leftChars="0"/>
        <w:jc w:val="left"/>
        <w:rPr>
          <w:rFonts w:hint="eastAsia"/>
          <w:lang w:val="en-US" w:eastAsia="zh-CN"/>
        </w:rPr>
      </w:pPr>
      <w:bookmarkStart w:id="24" w:name="_Toc5559"/>
      <w:bookmarkStart w:id="25" w:name="_Toc18690"/>
      <w:bookmarkStart w:id="26" w:name="_Toc20748"/>
      <w:bookmarkStart w:id="27" w:name="_Toc27858"/>
      <w:r>
        <w:rPr>
          <w:rFonts w:hint="eastAsia"/>
          <w:lang w:val="en-US" w:eastAsia="zh-CN"/>
        </w:rPr>
        <w:t>5.投标文件的递交</w:t>
      </w:r>
      <w:bookmarkEnd w:id="24"/>
      <w:bookmarkEnd w:id="25"/>
      <w:bookmarkEnd w:id="26"/>
      <w:bookmarkEnd w:id="27"/>
    </w:p>
    <w:p>
      <w:pPr>
        <w:bidi w:val="0"/>
        <w:ind w:firstLine="420" w:firstLineChars="0"/>
        <w:rPr>
          <w:rFonts w:hint="eastAsia"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投标文件递交的截止时间（投标截止时间，下同）为</w:t>
      </w:r>
      <w:r>
        <w:rPr>
          <w:rFonts w:hint="eastAsia" w:ascii="宋体" w:hAnsi="宋体" w:eastAsia="宋体" w:cs="Times New Roman"/>
          <w:color w:val="FF0000"/>
          <w:kern w:val="2"/>
          <w:sz w:val="21"/>
          <w:szCs w:val="24"/>
          <w:u w:val="single"/>
          <w:lang w:val="en-US" w:eastAsia="zh-CN" w:bidi="ar-SA"/>
        </w:rPr>
        <w:t xml:space="preserve"> </w:t>
      </w:r>
      <w:r>
        <w:rPr>
          <w:rFonts w:hint="eastAsia" w:ascii="宋体" w:hAnsi="宋体" w:cs="Times New Roman"/>
          <w:color w:val="FF0000"/>
          <w:kern w:val="2"/>
          <w:sz w:val="21"/>
          <w:szCs w:val="24"/>
          <w:u w:val="single"/>
          <w:lang w:val="en-US" w:eastAsia="zh-CN" w:bidi="ar-SA"/>
        </w:rPr>
        <w:t>2022</w:t>
      </w:r>
      <w:r>
        <w:rPr>
          <w:rFonts w:hint="eastAsia" w:ascii="宋体" w:hAnsi="宋体" w:eastAsia="宋体" w:cs="Times New Roman"/>
          <w:color w:val="FF0000"/>
          <w:kern w:val="2"/>
          <w:sz w:val="21"/>
          <w:szCs w:val="24"/>
          <w:u w:val="single"/>
          <w:lang w:val="en-US" w:eastAsia="zh-CN" w:bidi="ar-SA"/>
        </w:rPr>
        <w:t xml:space="preserve"> </w:t>
      </w:r>
      <w:r>
        <w:rPr>
          <w:rFonts w:hint="eastAsia" w:ascii="宋体" w:hAnsi="宋体" w:eastAsia="宋体" w:cs="Times New Roman"/>
          <w:color w:val="FF0000"/>
          <w:kern w:val="2"/>
          <w:sz w:val="21"/>
          <w:szCs w:val="24"/>
          <w:lang w:val="en-US" w:eastAsia="zh-CN" w:bidi="ar-SA"/>
        </w:rPr>
        <w:t>年</w:t>
      </w:r>
      <w:r>
        <w:rPr>
          <w:rFonts w:hint="eastAsia" w:ascii="宋体" w:hAnsi="宋体" w:eastAsia="宋体" w:cs="Times New Roman"/>
          <w:color w:val="FF0000"/>
          <w:kern w:val="2"/>
          <w:sz w:val="21"/>
          <w:szCs w:val="24"/>
          <w:u w:val="single"/>
          <w:lang w:val="en-US" w:eastAsia="zh-CN" w:bidi="ar-SA"/>
        </w:rPr>
        <w:t xml:space="preserve"> </w:t>
      </w:r>
      <w:r>
        <w:rPr>
          <w:rFonts w:hint="eastAsia" w:ascii="宋体" w:hAnsi="宋体" w:cs="Times New Roman"/>
          <w:color w:val="FF0000"/>
          <w:kern w:val="2"/>
          <w:sz w:val="21"/>
          <w:szCs w:val="24"/>
          <w:u w:val="single"/>
          <w:lang w:val="en-US" w:eastAsia="zh-CN" w:bidi="ar-SA"/>
        </w:rPr>
        <w:t>7</w:t>
      </w:r>
      <w:r>
        <w:rPr>
          <w:rFonts w:hint="eastAsia" w:ascii="宋体" w:hAnsi="宋体" w:eastAsia="宋体" w:cs="Times New Roman"/>
          <w:color w:val="FF0000"/>
          <w:kern w:val="2"/>
          <w:sz w:val="21"/>
          <w:szCs w:val="24"/>
          <w:u w:val="single"/>
          <w:lang w:val="en-US" w:eastAsia="zh-CN" w:bidi="ar-SA"/>
        </w:rPr>
        <w:t xml:space="preserve"> </w:t>
      </w:r>
      <w:r>
        <w:rPr>
          <w:rFonts w:hint="eastAsia" w:ascii="宋体" w:hAnsi="宋体" w:eastAsia="宋体" w:cs="Times New Roman"/>
          <w:color w:val="FF0000"/>
          <w:kern w:val="2"/>
          <w:sz w:val="21"/>
          <w:szCs w:val="24"/>
          <w:lang w:val="en-US" w:eastAsia="zh-CN" w:bidi="ar-SA"/>
        </w:rPr>
        <w:t>月</w:t>
      </w:r>
      <w:r>
        <w:rPr>
          <w:rFonts w:hint="eastAsia" w:ascii="宋体" w:hAnsi="宋体" w:eastAsia="宋体" w:cs="Times New Roman"/>
          <w:color w:val="FF0000"/>
          <w:kern w:val="2"/>
          <w:sz w:val="21"/>
          <w:szCs w:val="24"/>
          <w:u w:val="single"/>
          <w:lang w:val="en-US" w:eastAsia="zh-CN" w:bidi="ar-SA"/>
        </w:rPr>
        <w:t xml:space="preserve"> </w:t>
      </w:r>
      <w:r>
        <w:rPr>
          <w:rFonts w:hint="eastAsia" w:ascii="宋体" w:hAnsi="宋体" w:cs="Times New Roman"/>
          <w:color w:val="FF0000"/>
          <w:kern w:val="2"/>
          <w:sz w:val="21"/>
          <w:szCs w:val="24"/>
          <w:u w:val="single"/>
          <w:lang w:val="en-US" w:eastAsia="zh-CN" w:bidi="ar-SA"/>
        </w:rPr>
        <w:t>26</w:t>
      </w:r>
      <w:r>
        <w:rPr>
          <w:rFonts w:hint="eastAsia" w:ascii="宋体" w:hAnsi="宋体" w:eastAsia="宋体" w:cs="Times New Roman"/>
          <w:color w:val="FF0000"/>
          <w:kern w:val="2"/>
          <w:sz w:val="21"/>
          <w:szCs w:val="24"/>
          <w:u w:val="single"/>
          <w:lang w:val="en-US" w:eastAsia="zh-CN" w:bidi="ar-SA"/>
        </w:rPr>
        <w:t xml:space="preserve"> </w:t>
      </w:r>
      <w:r>
        <w:rPr>
          <w:rFonts w:hint="eastAsia" w:ascii="宋体" w:hAnsi="宋体" w:eastAsia="宋体" w:cs="Times New Roman"/>
          <w:color w:val="FF0000"/>
          <w:kern w:val="2"/>
          <w:sz w:val="21"/>
          <w:szCs w:val="24"/>
          <w:lang w:val="en-US" w:eastAsia="zh-CN" w:bidi="ar-SA"/>
        </w:rPr>
        <w:t>日</w:t>
      </w:r>
      <w:r>
        <w:rPr>
          <w:rFonts w:hint="eastAsia" w:ascii="宋体" w:hAnsi="宋体" w:cs="Times New Roman"/>
          <w:color w:val="FF0000"/>
          <w:kern w:val="2"/>
          <w:sz w:val="21"/>
          <w:szCs w:val="24"/>
          <w:u w:val="single"/>
          <w:lang w:val="en-US" w:eastAsia="zh-CN" w:bidi="ar-SA"/>
        </w:rPr>
        <w:t xml:space="preserve"> </w:t>
      </w:r>
      <w:r>
        <w:rPr>
          <w:rFonts w:hint="eastAsia" w:cs="Times New Roman"/>
          <w:color w:val="FF0000"/>
          <w:u w:val="single"/>
          <w:lang w:val="en-US" w:eastAsia="zh-CN"/>
        </w:rPr>
        <w:t>12</w:t>
      </w:r>
      <w:r>
        <w:rPr>
          <w:rFonts w:hint="eastAsia" w:ascii="Times New Roman" w:hAnsi="Times New Roman" w:eastAsia="宋体" w:cs="Times New Roman"/>
          <w:color w:val="FF0000"/>
          <w:u w:val="single"/>
          <w:lang w:val="en-US" w:eastAsia="zh-CN"/>
        </w:rPr>
        <w:t xml:space="preserve"> </w:t>
      </w:r>
      <w:r>
        <w:rPr>
          <w:rFonts w:hint="eastAsia" w:ascii="Times New Roman" w:hAnsi="Times New Roman" w:eastAsia="宋体" w:cs="Times New Roman"/>
          <w:color w:val="FF0000"/>
          <w:lang w:val="en-US" w:eastAsia="zh-CN"/>
        </w:rPr>
        <w:t>时</w:t>
      </w:r>
      <w:r>
        <w:rPr>
          <w:rFonts w:hint="eastAsia" w:ascii="Times New Roman" w:hAnsi="Times New Roman" w:eastAsia="宋体" w:cs="Times New Roman"/>
          <w:color w:val="FF0000"/>
          <w:u w:val="single"/>
          <w:lang w:val="en-US" w:eastAsia="zh-CN"/>
        </w:rPr>
        <w:t xml:space="preserve"> </w:t>
      </w:r>
      <w:r>
        <w:rPr>
          <w:rFonts w:hint="eastAsia" w:cs="Times New Roman"/>
          <w:color w:val="FF0000"/>
          <w:u w:val="single"/>
          <w:lang w:val="en-US" w:eastAsia="zh-CN"/>
        </w:rPr>
        <w:t>00</w:t>
      </w:r>
      <w:r>
        <w:rPr>
          <w:rFonts w:hint="eastAsia" w:ascii="Times New Roman" w:hAnsi="Times New Roman" w:eastAsia="宋体" w:cs="Times New Roman"/>
          <w:color w:val="FF0000"/>
          <w:u w:val="single"/>
          <w:lang w:val="en-US" w:eastAsia="zh-CN"/>
        </w:rPr>
        <w:t xml:space="preserve"> </w:t>
      </w:r>
      <w:r>
        <w:rPr>
          <w:rFonts w:hint="eastAsia" w:ascii="Times New Roman" w:hAnsi="Times New Roman" w:eastAsia="宋体" w:cs="Times New Roman"/>
          <w:color w:val="FF0000"/>
          <w:lang w:val="en-US" w:eastAsia="zh-CN"/>
        </w:rPr>
        <w:t>分，投标人应在截止时间前，到</w:t>
      </w:r>
      <w:r>
        <w:rPr>
          <w:rFonts w:hint="eastAsia" w:cs="Times New Roman"/>
          <w:color w:val="FF0000"/>
          <w:lang w:val="en-US" w:eastAsia="zh-CN"/>
        </w:rPr>
        <w:t>贵州建工</w:t>
      </w:r>
      <w:r>
        <w:rPr>
          <w:rFonts w:hint="eastAsia" w:ascii="Times New Roman" w:hAnsi="Times New Roman" w:eastAsia="宋体" w:cs="Times New Roman"/>
          <w:color w:val="FF0000"/>
          <w:lang w:val="en-US" w:eastAsia="zh-CN"/>
        </w:rPr>
        <w:t>云富集采</w:t>
      </w:r>
      <w:r>
        <w:rPr>
          <w:rFonts w:hint="eastAsia" w:cs="Times New Roman"/>
          <w:color w:val="FF0000"/>
          <w:lang w:val="en-US" w:eastAsia="zh-CN"/>
        </w:rPr>
        <w:t>有限责任公司</w:t>
      </w:r>
      <w:r>
        <w:rPr>
          <w:rFonts w:hint="eastAsia" w:ascii="Times New Roman" w:hAnsi="Times New Roman" w:eastAsia="宋体" w:cs="Times New Roman"/>
          <w:color w:val="FF0000"/>
          <w:lang w:val="en-US" w:eastAsia="zh-CN"/>
        </w:rPr>
        <w:t>递交纸质版投标文件。</w:t>
      </w:r>
    </w:p>
    <w:p>
      <w:pPr>
        <w:pStyle w:val="4"/>
        <w:numPr>
          <w:ilvl w:val="0"/>
          <w:numId w:val="3"/>
        </w:numPr>
        <w:bidi w:val="0"/>
        <w:ind w:left="575" w:leftChars="0" w:hanging="575" w:firstLineChars="0"/>
        <w:jc w:val="left"/>
        <w:rPr>
          <w:rFonts w:hint="eastAsia"/>
          <w:lang w:val="en-US" w:eastAsia="zh-CN"/>
        </w:rPr>
      </w:pPr>
      <w:bookmarkStart w:id="28" w:name="_Toc15546"/>
      <w:r>
        <w:rPr>
          <w:rFonts w:hint="eastAsia"/>
          <w:lang w:val="en-US" w:eastAsia="zh-CN"/>
        </w:rPr>
        <w:t>开标时间及地点</w:t>
      </w:r>
      <w:bookmarkEnd w:id="28"/>
    </w:p>
    <w:p>
      <w:pPr>
        <w:spacing w:line="300" w:lineRule="exact"/>
        <w:ind w:left="-84" w:leftChars="-40" w:right="-108" w:firstLine="525" w:firstLineChars="250"/>
        <w:jc w:val="left"/>
        <w:rPr>
          <w:rFonts w:hint="eastAsia" w:ascii="宋体" w:eastAsia="宋体"/>
          <w:color w:val="FF0000"/>
          <w:kern w:val="0"/>
          <w:szCs w:val="21"/>
          <w:highlight w:val="none"/>
          <w:lang w:val="en-US" w:eastAsia="zh-CN"/>
        </w:rPr>
      </w:pPr>
      <w:bookmarkStart w:id="29" w:name="_Toc32336"/>
      <w:bookmarkStart w:id="30" w:name="_Toc18017"/>
      <w:bookmarkStart w:id="31" w:name="_Toc7762"/>
      <w:r>
        <w:rPr>
          <w:rFonts w:hint="eastAsia" w:ascii="宋体" w:hAnsi="宋体"/>
          <w:color w:val="FF0000"/>
          <w:kern w:val="0"/>
          <w:szCs w:val="21"/>
          <w:highlight w:val="none"/>
        </w:rPr>
        <w:t>开标时间：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2022</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7</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月</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26</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日</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14</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时</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30</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分</w:t>
      </w:r>
      <w:r>
        <w:rPr>
          <w:rFonts w:ascii="宋体" w:hAnsi="宋体"/>
          <w:color w:val="FF0000"/>
          <w:kern w:val="0"/>
          <w:szCs w:val="21"/>
          <w:highlight w:val="none"/>
        </w:rPr>
        <w:t xml:space="preserve"> </w:t>
      </w:r>
      <w:r>
        <w:rPr>
          <w:rFonts w:hint="eastAsia" w:ascii="宋体" w:hAnsi="宋体"/>
          <w:color w:val="FF0000"/>
          <w:kern w:val="0"/>
          <w:szCs w:val="21"/>
          <w:highlight w:val="none"/>
          <w:lang w:eastAsia="zh-CN"/>
        </w:rPr>
        <w:t>。</w:t>
      </w:r>
    </w:p>
    <w:p>
      <w:pPr>
        <w:bidi w:val="0"/>
        <w:ind w:firstLine="420" w:firstLineChars="0"/>
        <w:rPr>
          <w:rFonts w:hint="eastAsia" w:ascii="Times New Roman" w:hAnsi="Times New Roman" w:eastAsia="宋体" w:cs="Times New Roman"/>
          <w:color w:val="FF0000"/>
          <w:highlight w:val="none"/>
          <w:lang w:val="en-US" w:eastAsia="zh-CN"/>
        </w:rPr>
      </w:pPr>
      <w:r>
        <w:rPr>
          <w:rFonts w:hint="eastAsia" w:ascii="宋体" w:hAnsi="宋体"/>
          <w:color w:val="FF0000"/>
          <w:szCs w:val="21"/>
          <w:highlight w:val="none"/>
        </w:rPr>
        <w:t>地</w:t>
      </w:r>
      <w:r>
        <w:rPr>
          <w:rFonts w:hint="eastAsia" w:ascii="宋体" w:hAnsi="宋体"/>
          <w:color w:val="FF0000"/>
          <w:szCs w:val="21"/>
          <w:highlight w:val="none"/>
          <w:lang w:val="en-US" w:eastAsia="zh-CN"/>
        </w:rPr>
        <w:t xml:space="preserve">    </w:t>
      </w:r>
      <w:r>
        <w:rPr>
          <w:rFonts w:hint="eastAsia" w:ascii="宋体" w:hAnsi="宋体"/>
          <w:color w:val="FF0000"/>
          <w:szCs w:val="21"/>
          <w:highlight w:val="none"/>
        </w:rPr>
        <w:t>点：</w:t>
      </w:r>
      <w:r>
        <w:rPr>
          <w:rFonts w:hint="eastAsia" w:ascii="宋体" w:hAnsi="宋体"/>
          <w:color w:val="FF0000"/>
          <w:kern w:val="0"/>
          <w:szCs w:val="21"/>
          <w:highlight w:val="none"/>
        </w:rPr>
        <w:t>贵州省贵阳市南明区云关乡龙洞堡首开紫郡地铁站2号线森林公园站D出口</w:t>
      </w:r>
      <w:r>
        <w:rPr>
          <w:rFonts w:hint="eastAsia" w:ascii="宋体" w:hAnsi="宋体"/>
          <w:color w:val="FF0000"/>
          <w:kern w:val="0"/>
          <w:szCs w:val="21"/>
          <w:highlight w:val="none"/>
          <w:lang w:eastAsia="zh-CN"/>
        </w:rPr>
        <w:t>，</w:t>
      </w:r>
      <w:r>
        <w:rPr>
          <w:rFonts w:hint="eastAsia" w:ascii="宋体" w:hAnsi="宋体"/>
          <w:color w:val="FF0000"/>
          <w:kern w:val="0"/>
          <w:szCs w:val="21"/>
          <w:highlight w:val="none"/>
        </w:rPr>
        <w:t>贵州建工绿地控股</w:t>
      </w:r>
      <w:r>
        <w:rPr>
          <w:rFonts w:hint="eastAsia" w:ascii="宋体" w:hAnsi="宋体"/>
          <w:color w:val="FF0000"/>
          <w:kern w:val="0"/>
          <w:szCs w:val="21"/>
          <w:highlight w:val="none"/>
          <w:lang w:val="en-US" w:eastAsia="zh-CN"/>
        </w:rPr>
        <w:t>大楼</w:t>
      </w:r>
      <w:r>
        <w:rPr>
          <w:rFonts w:hint="eastAsia" w:ascii="宋体" w:hAnsi="宋体"/>
          <w:color w:val="FF0000"/>
          <w:kern w:val="0"/>
          <w:szCs w:val="21"/>
          <w:highlight w:val="none"/>
          <w:lang w:eastAsia="zh-CN"/>
        </w:rPr>
        <w:t>，</w:t>
      </w:r>
      <w:r>
        <w:rPr>
          <w:rFonts w:hint="eastAsia" w:ascii="宋体" w:hAnsi="宋体"/>
          <w:color w:val="FF0000"/>
          <w:kern w:val="0"/>
          <w:szCs w:val="21"/>
          <w:highlight w:val="none"/>
          <w:lang w:val="en-US" w:eastAsia="zh-CN"/>
        </w:rPr>
        <w:t>负一楼第二教室。</w:t>
      </w:r>
    </w:p>
    <w:p>
      <w:pPr>
        <w:pStyle w:val="4"/>
        <w:numPr>
          <w:ilvl w:val="0"/>
          <w:numId w:val="4"/>
        </w:numPr>
        <w:bidi w:val="0"/>
        <w:ind w:left="575" w:leftChars="0" w:hanging="575" w:firstLineChars="0"/>
        <w:jc w:val="left"/>
        <w:rPr>
          <w:rFonts w:hint="eastAsia"/>
          <w:lang w:val="en-US" w:eastAsia="zh-CN"/>
        </w:rPr>
      </w:pPr>
      <w:bookmarkStart w:id="32" w:name="_Toc16602"/>
      <w:r>
        <w:rPr>
          <w:rFonts w:hint="eastAsia"/>
          <w:lang w:val="en-US" w:eastAsia="zh-CN"/>
        </w:rPr>
        <w:t>联系方式</w:t>
      </w:r>
      <w:bookmarkEnd w:id="29"/>
      <w:bookmarkEnd w:id="30"/>
      <w:bookmarkEnd w:id="31"/>
      <w:bookmarkEnd w:id="32"/>
    </w:p>
    <w:p>
      <w:pPr>
        <w:pStyle w:val="47"/>
        <w:ind w:left="420" w:leftChars="200" w:right="10" w:rightChars="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招 标 人：  贵州建工云富集采有限责任公司                           </w:t>
      </w:r>
    </w:p>
    <w:p>
      <w:pPr>
        <w:pStyle w:val="47"/>
        <w:ind w:left="420" w:leftChars="200" w:right="10" w:rightChars="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招标组织单位：贵州建工云富集采有限责任公司</w:t>
      </w:r>
    </w:p>
    <w:p>
      <w:pPr>
        <w:pStyle w:val="47"/>
        <w:ind w:left="1680" w:leftChars="200" w:right="10" w:rightChars="5" w:hanging="1260" w:hangingChars="6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地    址： 贵州省贵阳市南明区云关乡龙洞堡首开紫郡地铁站2号线森林公园站D出</w:t>
      </w:r>
    </w:p>
    <w:p>
      <w:pPr>
        <w:pStyle w:val="47"/>
        <w:ind w:left="1680" w:leftChars="700" w:right="10" w:rightChars="5" w:hanging="210" w:hangingChars="1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口贵州建工绿地控股                                             </w:t>
      </w:r>
    </w:p>
    <w:p>
      <w:pPr>
        <w:topLinePunct/>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联 系 人：</w:t>
      </w:r>
      <w:r>
        <w:rPr>
          <w:rFonts w:hint="eastAsia" w:cs="Times New Roman"/>
          <w:kern w:val="2"/>
          <w:sz w:val="21"/>
          <w:szCs w:val="24"/>
          <w:lang w:val="en-US" w:eastAsia="zh-CN" w:bidi="ar-SA"/>
        </w:rPr>
        <w:t>吴平</w:t>
      </w:r>
      <w:r>
        <w:rPr>
          <w:rFonts w:hint="eastAsia" w:ascii="Times New Roman" w:hAnsi="Times New Roman" w:eastAsia="宋体" w:cs="Times New Roman"/>
          <w:kern w:val="2"/>
          <w:sz w:val="21"/>
          <w:szCs w:val="24"/>
          <w:lang w:val="en-US" w:eastAsia="zh-CN" w:bidi="ar-SA"/>
        </w:rPr>
        <w:t xml:space="preserve">                                     </w:t>
      </w:r>
    </w:p>
    <w:p>
      <w:pPr>
        <w:topLinePunct/>
        <w:ind w:firstLine="420" w:firstLineChars="200"/>
        <w:rPr>
          <w:szCs w:val="21"/>
          <w:highlight w:val="none"/>
        </w:rPr>
      </w:pPr>
      <w:r>
        <w:rPr>
          <w:rFonts w:hint="eastAsia" w:ascii="Times New Roman" w:hAnsi="Times New Roman" w:eastAsia="宋体" w:cs="Times New Roman"/>
          <w:kern w:val="2"/>
          <w:sz w:val="21"/>
          <w:szCs w:val="24"/>
          <w:lang w:val="en-US" w:eastAsia="zh-CN" w:bidi="ar-SA"/>
        </w:rPr>
        <w:t>电    话：</w:t>
      </w:r>
      <w:r>
        <w:rPr>
          <w:rFonts w:hint="eastAsia" w:cs="Times New Roman"/>
          <w:kern w:val="2"/>
          <w:sz w:val="21"/>
          <w:szCs w:val="24"/>
          <w:lang w:val="en-US" w:eastAsia="zh-CN" w:bidi="ar-SA"/>
        </w:rPr>
        <w:t>18885002514</w:t>
      </w:r>
      <w:r>
        <w:rPr>
          <w:rFonts w:hint="eastAsia" w:ascii="Times New Roman" w:hAnsi="Times New Roman" w:eastAsia="宋体" w:cs="Times New Roman"/>
          <w:kern w:val="2"/>
          <w:sz w:val="21"/>
          <w:szCs w:val="24"/>
          <w:lang w:val="en-US" w:eastAsia="zh-CN" w:bidi="ar-SA"/>
        </w:rPr>
        <w:t xml:space="preserve">                                                                 </w:t>
      </w:r>
      <w:r>
        <w:rPr>
          <w:rFonts w:hint="eastAsia"/>
          <w:szCs w:val="21"/>
          <w:highlight w:val="none"/>
        </w:rPr>
        <w:t xml:space="preserve">     </w:t>
      </w:r>
    </w:p>
    <w:p>
      <w:pPr>
        <w:pStyle w:val="4"/>
        <w:numPr>
          <w:ilvl w:val="0"/>
          <w:numId w:val="5"/>
        </w:numPr>
        <w:bidi w:val="0"/>
        <w:ind w:left="575" w:leftChars="0" w:hanging="575" w:firstLineChars="0"/>
        <w:jc w:val="left"/>
        <w:rPr>
          <w:rFonts w:hint="default"/>
          <w:lang w:val="en-US" w:eastAsia="zh-CN"/>
        </w:rPr>
      </w:pPr>
      <w:bookmarkStart w:id="33" w:name="_Toc18409"/>
      <w:bookmarkStart w:id="34" w:name="_Toc32348"/>
      <w:bookmarkStart w:id="35" w:name="_Toc31970"/>
      <w:r>
        <w:rPr>
          <w:rFonts w:hint="default"/>
          <w:lang w:val="en-US" w:eastAsia="zh-CN"/>
        </w:rPr>
        <w:t>监督机构</w:t>
      </w:r>
      <w:bookmarkEnd w:id="33"/>
      <w:bookmarkEnd w:id="34"/>
      <w:bookmarkEnd w:id="35"/>
    </w:p>
    <w:p>
      <w:pPr>
        <w:spacing w:line="400" w:lineRule="exact"/>
        <w:ind w:firstLine="420" w:firstLineChars="200"/>
        <w:rPr>
          <w:rFonts w:hint="default"/>
          <w:szCs w:val="21"/>
          <w:highlight w:val="none"/>
          <w:lang w:val="en-US" w:eastAsia="zh-CN"/>
        </w:rPr>
      </w:pPr>
      <w:r>
        <w:rPr>
          <w:rFonts w:hint="default"/>
          <w:szCs w:val="21"/>
          <w:highlight w:val="none"/>
          <w:lang w:val="en-US" w:eastAsia="zh-CN"/>
        </w:rPr>
        <w:t>监督机构名称：</w:t>
      </w:r>
      <w:r>
        <w:rPr>
          <w:rFonts w:hint="eastAsia"/>
          <w:lang w:val="en-US" w:eastAsia="zh-CN"/>
        </w:rPr>
        <w:t>（项目代表、项目总包单位代表组成）</w:t>
      </w:r>
    </w:p>
    <w:p>
      <w:pPr>
        <w:spacing w:line="400" w:lineRule="exact"/>
        <w:ind w:firstLine="420" w:firstLineChars="200"/>
        <w:rPr>
          <w:rFonts w:hint="default"/>
          <w:szCs w:val="21"/>
          <w:highlight w:val="none"/>
          <w:lang w:val="en-US" w:eastAsia="zh-CN"/>
        </w:rPr>
      </w:pPr>
      <w:r>
        <w:rPr>
          <w:rFonts w:hint="default"/>
          <w:szCs w:val="21"/>
          <w:highlight w:val="none"/>
          <w:lang w:val="en-US" w:eastAsia="zh-CN"/>
        </w:rPr>
        <w:t>联系人：</w:t>
      </w:r>
    </w:p>
    <w:p>
      <w:pPr>
        <w:spacing w:line="400" w:lineRule="exact"/>
        <w:ind w:firstLine="420" w:firstLineChars="200"/>
      </w:pPr>
      <w:r>
        <w:rPr>
          <w:rFonts w:hint="default"/>
          <w:szCs w:val="21"/>
          <w:highlight w:val="none"/>
          <w:lang w:val="en-US" w:eastAsia="zh-CN"/>
        </w:rPr>
        <w:t>电</w:t>
      </w:r>
      <w:r>
        <w:rPr>
          <w:rFonts w:hint="eastAsia"/>
          <w:szCs w:val="21"/>
          <w:highlight w:val="none"/>
          <w:lang w:val="en-US" w:eastAsia="zh-CN"/>
        </w:rPr>
        <w:t xml:space="preserve">  </w:t>
      </w:r>
      <w:r>
        <w:rPr>
          <w:rFonts w:hint="default"/>
          <w:szCs w:val="21"/>
          <w:highlight w:val="none"/>
          <w:lang w:val="en-US" w:eastAsia="zh-CN"/>
        </w:rPr>
        <w:t>话：</w:t>
      </w:r>
      <w:r>
        <w:rPr>
          <w:szCs w:val="21"/>
        </w:rPr>
        <w:t>　　　　　　　　　　</w:t>
      </w:r>
    </w:p>
    <w:p>
      <w:pPr>
        <w:pStyle w:val="3"/>
        <w:bidi w:val="0"/>
        <w:jc w:val="center"/>
        <w:rPr>
          <w:rFonts w:hint="eastAsia"/>
          <w:lang w:val="en-US" w:eastAsia="zh-CN"/>
        </w:rPr>
      </w:pPr>
      <w:bookmarkStart w:id="36" w:name="_Toc6104"/>
      <w:bookmarkStart w:id="37" w:name="_Toc255764326"/>
      <w:bookmarkStart w:id="38" w:name="_Toc238797548"/>
      <w:bookmarkStart w:id="39" w:name="_Toc29494"/>
      <w:bookmarkStart w:id="40" w:name="_Toc9073"/>
      <w:bookmarkStart w:id="41" w:name="_Toc64"/>
      <w:bookmarkStart w:id="42" w:name="_Toc17346"/>
      <w:bookmarkStart w:id="43" w:name="_Toc27443"/>
      <w:bookmarkStart w:id="44" w:name="_Toc2108"/>
      <w:bookmarkStart w:id="45" w:name="_Toc24422"/>
      <w:bookmarkStart w:id="46" w:name="_Toc15031"/>
      <w:bookmarkStart w:id="47" w:name="_Toc513"/>
      <w:bookmarkStart w:id="48" w:name="_Toc1333"/>
      <w:bookmarkStart w:id="49" w:name="_Toc5251"/>
      <w:bookmarkStart w:id="50" w:name="_Toc26607"/>
      <w:bookmarkStart w:id="51" w:name="_Toc7952"/>
      <w:bookmarkStart w:id="52" w:name="_Toc152045527"/>
      <w:bookmarkStart w:id="53" w:name="_Toc144974495"/>
      <w:bookmarkStart w:id="54" w:name="_Toc238552193"/>
      <w:bookmarkStart w:id="55" w:name="_Toc32608"/>
      <w:bookmarkStart w:id="56" w:name="_Toc3879"/>
      <w:bookmarkStart w:id="57" w:name="_Toc10217"/>
      <w:bookmarkStart w:id="58" w:name="_Toc8695"/>
      <w:bookmarkStart w:id="59" w:name="_Toc152042303"/>
      <w:bookmarkStart w:id="60" w:name="_Toc30957"/>
      <w:bookmarkStart w:id="61" w:name="_Toc32125"/>
      <w:bookmarkStart w:id="62" w:name="_Toc19638"/>
      <w:bookmarkStart w:id="63" w:name="_Toc13744"/>
      <w:bookmarkStart w:id="64" w:name="_Toc28220"/>
      <w:bookmarkStart w:id="65" w:name="_Toc12332"/>
      <w:bookmarkStart w:id="66" w:name="_Toc5471"/>
      <w:bookmarkStart w:id="67" w:name="_Toc16083"/>
      <w:bookmarkStart w:id="68" w:name="_Toc12854"/>
      <w:r>
        <w:rPr>
          <w:rFonts w:hint="eastAsia"/>
          <w:lang w:val="en-US" w:eastAsia="zh-CN"/>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_Toc238552194"/>
      <w:bookmarkStart w:id="70" w:name="_Toc152045528"/>
      <w:bookmarkStart w:id="71" w:name="_Toc255764327"/>
      <w:bookmarkStart w:id="72" w:name="_Toc152042304"/>
      <w:bookmarkStart w:id="73" w:name="_Toc238797549"/>
      <w:bookmarkStart w:id="74" w:name="_Toc144974496"/>
      <w:bookmarkStart w:id="75" w:name="_Toc238797550"/>
      <w:bookmarkStart w:id="76" w:name="_Toc144974497"/>
      <w:bookmarkStart w:id="77" w:name="_Toc238552195"/>
      <w:bookmarkStart w:id="78" w:name="_Toc152045529"/>
      <w:bookmarkStart w:id="79" w:name="_Toc152042305"/>
    </w:p>
    <w:p>
      <w:pPr>
        <w:pStyle w:val="4"/>
        <w:numPr>
          <w:ilvl w:val="0"/>
          <w:numId w:val="6"/>
        </w:numPr>
        <w:bidi w:val="0"/>
        <w:ind w:left="575" w:leftChars="0" w:hanging="575"/>
        <w:jc w:val="left"/>
        <w:rPr>
          <w:rFonts w:hint="default"/>
          <w:lang w:val="en-US" w:eastAsia="zh-CN"/>
        </w:rPr>
      </w:pPr>
      <w:bookmarkStart w:id="80" w:name="_Toc18612"/>
      <w:bookmarkStart w:id="81" w:name="_Toc14177"/>
      <w:bookmarkStart w:id="82" w:name="_Toc18105"/>
      <w:bookmarkStart w:id="83" w:name="_Toc25329"/>
      <w:bookmarkStart w:id="84" w:name="_Toc24734"/>
      <w:bookmarkStart w:id="85" w:name="_Toc21882"/>
      <w:bookmarkStart w:id="86" w:name="_Toc28799"/>
      <w:bookmarkStart w:id="87" w:name="_Toc5874"/>
      <w:bookmarkStart w:id="88" w:name="_Toc5731"/>
      <w:bookmarkStart w:id="89" w:name="_Toc30711"/>
      <w:bookmarkStart w:id="90" w:name="_Toc28180"/>
      <w:bookmarkStart w:id="91" w:name="_Toc15845"/>
      <w:bookmarkStart w:id="92" w:name="_Toc32616"/>
      <w:bookmarkStart w:id="93" w:name="_Toc22867"/>
      <w:bookmarkStart w:id="94" w:name="_Toc3167"/>
      <w:bookmarkStart w:id="95" w:name="_Toc23186"/>
      <w:bookmarkStart w:id="96" w:name="_Toc3490"/>
      <w:bookmarkStart w:id="97" w:name="_Toc15704"/>
      <w:bookmarkStart w:id="98" w:name="_Toc781"/>
      <w:bookmarkStart w:id="99" w:name="_Toc14618"/>
      <w:bookmarkStart w:id="100" w:name="_Toc25370"/>
      <w:bookmarkStart w:id="101" w:name="_Toc31480"/>
      <w:bookmarkStart w:id="102" w:name="_Toc9459"/>
      <w:bookmarkStart w:id="103" w:name="_Toc15159"/>
      <w:bookmarkStart w:id="104" w:name="_Toc30412"/>
      <w:bookmarkStart w:id="105" w:name="_Toc16805"/>
      <w:bookmarkStart w:id="106" w:name="_Toc15780"/>
      <w:r>
        <w:rPr>
          <w:rFonts w:hint="eastAsia"/>
          <w:lang w:val="en-US" w:eastAsia="zh-CN"/>
        </w:rPr>
        <w:t>投标人须知前附表</w:t>
      </w:r>
      <w:bookmarkEnd w:id="69"/>
      <w:bookmarkEnd w:id="70"/>
      <w:bookmarkEnd w:id="71"/>
      <w:bookmarkEnd w:id="72"/>
      <w:bookmarkEnd w:id="73"/>
      <w:bookmarkEnd w:id="7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bl>
      <w:tblPr>
        <w:tblStyle w:val="23"/>
        <w:tblpPr w:leftFromText="180" w:rightFromText="180" w:vertAnchor="text" w:horzAnchor="page" w:tblpX="1320" w:tblpY="225"/>
        <w:tblOverlap w:val="never"/>
        <w:tblW w:w="9619" w:type="dxa"/>
        <w:tblInd w:w="0" w:type="dxa"/>
        <w:tblLayout w:type="fixed"/>
        <w:tblCellMar>
          <w:top w:w="0" w:type="dxa"/>
          <w:left w:w="108" w:type="dxa"/>
          <w:bottom w:w="0" w:type="dxa"/>
          <w:right w:w="108" w:type="dxa"/>
        </w:tblCellMar>
      </w:tblPr>
      <w:tblGrid>
        <w:gridCol w:w="799"/>
        <w:gridCol w:w="863"/>
        <w:gridCol w:w="1406"/>
        <w:gridCol w:w="6551"/>
      </w:tblGrid>
      <w:tr>
        <w:trPr>
          <w:trHeight w:val="407" w:hRule="atLeast"/>
        </w:trPr>
        <w:tc>
          <w:tcPr>
            <w:tcW w:w="799"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jc w:val="center"/>
              <w:rPr>
                <w:rFonts w:hint="eastAsia" w:ascii="宋体" w:hAnsi="宋体"/>
                <w:kern w:val="0"/>
                <w:szCs w:val="21"/>
              </w:rPr>
            </w:pPr>
            <w:r>
              <w:rPr>
                <w:rFonts w:hint="eastAsia" w:ascii="宋体" w:hAnsi="宋体"/>
                <w:kern w:val="0"/>
                <w:szCs w:val="21"/>
              </w:rPr>
              <w:t>项号</w:t>
            </w:r>
          </w:p>
        </w:tc>
        <w:tc>
          <w:tcPr>
            <w:tcW w:w="2269"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00" w:lineRule="exact"/>
              <w:jc w:val="center"/>
              <w:rPr>
                <w:rFonts w:hint="eastAsia" w:ascii="宋体" w:hAnsi="宋体"/>
                <w:kern w:val="0"/>
                <w:szCs w:val="21"/>
              </w:rPr>
            </w:pPr>
            <w:r>
              <w:rPr>
                <w:rFonts w:hint="eastAsia" w:ascii="宋体" w:hAnsi="宋体"/>
                <w:kern w:val="0"/>
                <w:szCs w:val="21"/>
              </w:rPr>
              <w:t>内    容</w:t>
            </w:r>
          </w:p>
        </w:tc>
        <w:tc>
          <w:tcPr>
            <w:tcW w:w="6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b/>
                <w:szCs w:val="21"/>
              </w:rPr>
            </w:pPr>
            <w:r>
              <w:rPr>
                <w:rFonts w:hint="eastAsia" w:ascii="宋体" w:hAnsi="宋体"/>
                <w:kern w:val="0"/>
                <w:szCs w:val="21"/>
              </w:rPr>
              <w:t>说明及要求</w:t>
            </w:r>
          </w:p>
        </w:tc>
      </w:tr>
      <w:tr>
        <w:tblPrEx>
          <w:tblCellMar>
            <w:top w:w="0" w:type="dxa"/>
            <w:left w:w="108" w:type="dxa"/>
            <w:bottom w:w="0" w:type="dxa"/>
            <w:right w:w="108" w:type="dxa"/>
          </w:tblCellMar>
        </w:tblPrEx>
        <w:trPr>
          <w:trHeight w:val="420"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rPr>
            </w:pPr>
            <w:r>
              <w:rPr>
                <w:rFonts w:ascii="宋体" w:hAnsi="宋体"/>
                <w:kern w:val="0"/>
                <w:szCs w:val="21"/>
              </w:rPr>
              <w:t>1</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rPr>
            </w:pPr>
            <w:r>
              <w:rPr>
                <w:rFonts w:hint="eastAsia" w:ascii="宋体" w:hAnsi="宋体"/>
                <w:kern w:val="0"/>
                <w:szCs w:val="21"/>
              </w:rPr>
              <w:t>项目名称</w:t>
            </w:r>
          </w:p>
        </w:tc>
        <w:tc>
          <w:tcPr>
            <w:tcW w:w="6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left"/>
              <w:rPr>
                <w:rFonts w:ascii="宋体"/>
                <w:szCs w:val="21"/>
              </w:rPr>
            </w:pPr>
            <w:r>
              <w:rPr>
                <w:rFonts w:hint="eastAsia" w:ascii="宋体" w:hAnsi="宋体"/>
                <w:kern w:val="0"/>
                <w:szCs w:val="21"/>
              </w:rPr>
              <w:t>贵州建工集团有限公司</w:t>
            </w:r>
            <w:r>
              <w:rPr>
                <w:rFonts w:hint="eastAsia" w:ascii="宋体" w:hAnsi="宋体"/>
                <w:kern w:val="0"/>
                <w:szCs w:val="21"/>
                <w:u w:val="single"/>
              </w:rPr>
              <w:t xml:space="preserve">  </w:t>
            </w:r>
            <w:r>
              <w:rPr>
                <w:rFonts w:hint="eastAsia" w:ascii="宋体" w:hAnsi="宋体"/>
                <w:u w:val="single"/>
              </w:rPr>
              <w:t>贵州轻工职业技术学院</w:t>
            </w:r>
            <w:r>
              <w:rPr>
                <w:rFonts w:hint="eastAsia"/>
                <w:u w:val="single"/>
              </w:rPr>
              <w:t>项目</w:t>
            </w:r>
            <w:r>
              <w:rPr>
                <w:rFonts w:hint="eastAsia" w:ascii="宋体" w:hAnsi="宋体"/>
                <w:kern w:val="0"/>
                <w:szCs w:val="21"/>
                <w:u w:val="single"/>
              </w:rPr>
              <w:t xml:space="preserve">  </w:t>
            </w:r>
            <w:r>
              <w:rPr>
                <w:rFonts w:hint="eastAsia" w:ascii="宋体" w:hAnsi="宋体"/>
                <w:kern w:val="0"/>
                <w:szCs w:val="21"/>
              </w:rPr>
              <w:t>项目</w:t>
            </w:r>
          </w:p>
        </w:tc>
      </w:tr>
      <w:tr>
        <w:tblPrEx>
          <w:tblCellMar>
            <w:top w:w="0" w:type="dxa"/>
            <w:left w:w="108" w:type="dxa"/>
            <w:bottom w:w="0" w:type="dxa"/>
            <w:right w:w="108" w:type="dxa"/>
          </w:tblCellMar>
        </w:tblPrEx>
        <w:trPr>
          <w:trHeight w:val="420"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eastAsia" w:ascii="宋体" w:eastAsia="宋体"/>
                <w:szCs w:val="21"/>
                <w:lang w:eastAsia="zh-CN"/>
              </w:rPr>
            </w:pPr>
            <w:r>
              <w:rPr>
                <w:rFonts w:hint="eastAsia" w:ascii="宋体" w:hAnsi="宋体"/>
                <w:kern w:val="0"/>
                <w:szCs w:val="21"/>
                <w:lang w:val="en-US" w:eastAsia="zh-CN"/>
              </w:rPr>
              <w:t>2</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b/>
                <w:bCs/>
                <w:u w:val="single"/>
              </w:rPr>
            </w:pPr>
            <w:r>
              <w:rPr>
                <w:rFonts w:hint="eastAsia" w:ascii="宋体" w:hAnsi="宋体"/>
                <w:kern w:val="0"/>
                <w:szCs w:val="21"/>
              </w:rPr>
              <w:t>招标内容</w:t>
            </w:r>
          </w:p>
        </w:tc>
        <w:tc>
          <w:tcPr>
            <w:tcW w:w="6551"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rPr>
                <w:rFonts w:hint="default" w:ascii="宋体" w:eastAsia="宋体"/>
                <w:szCs w:val="21"/>
                <w:lang w:val="en-US" w:eastAsia="zh-CN"/>
              </w:rPr>
            </w:pPr>
            <w:r>
              <w:rPr>
                <w:rFonts w:hint="eastAsia" w:ascii="宋体" w:hAnsi="宋体"/>
                <w:kern w:val="0"/>
                <w:szCs w:val="21"/>
                <w:u w:val="single"/>
              </w:rPr>
              <w:t xml:space="preserve"> </w:t>
            </w:r>
            <w:r>
              <w:rPr>
                <w:rFonts w:hint="eastAsia" w:ascii="宋体" w:hAnsi="宋体"/>
                <w:kern w:val="0"/>
                <w:szCs w:val="21"/>
                <w:u w:val="single"/>
                <w:lang w:val="en-US" w:eastAsia="zh-CN"/>
              </w:rPr>
              <w:t>钢材材料采购</w:t>
            </w:r>
            <w:r>
              <w:rPr>
                <w:rFonts w:hint="eastAsia" w:ascii="宋体" w:hAnsi="宋体"/>
                <w:kern w:val="0"/>
                <w:szCs w:val="21"/>
                <w:u w:val="single"/>
              </w:rPr>
              <w:t>，</w:t>
            </w:r>
            <w:r>
              <w:rPr>
                <w:rFonts w:hint="eastAsia" w:ascii="宋体" w:hAnsi="宋体"/>
                <w:kern w:val="0"/>
                <w:szCs w:val="21"/>
              </w:rPr>
              <w:t>详见物资需求一览表。</w:t>
            </w:r>
          </w:p>
        </w:tc>
      </w:tr>
      <w:tr>
        <w:tblPrEx>
          <w:tblCellMar>
            <w:top w:w="0" w:type="dxa"/>
            <w:left w:w="108" w:type="dxa"/>
            <w:bottom w:w="0" w:type="dxa"/>
            <w:right w:w="108" w:type="dxa"/>
          </w:tblCellMar>
        </w:tblPrEx>
        <w:trPr>
          <w:trHeight w:val="420"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eastAsia" w:ascii="宋体" w:eastAsia="宋体"/>
                <w:szCs w:val="21"/>
                <w:lang w:eastAsia="zh-CN"/>
              </w:rPr>
            </w:pPr>
            <w:r>
              <w:rPr>
                <w:rFonts w:hint="eastAsia" w:ascii="宋体" w:hAnsi="宋体"/>
                <w:kern w:val="0"/>
                <w:szCs w:val="21"/>
                <w:lang w:val="en-US" w:eastAsia="zh-CN"/>
              </w:rPr>
              <w:t>3</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rPr>
            </w:pPr>
            <w:r>
              <w:rPr>
                <w:rFonts w:hint="eastAsia" w:ascii="宋体" w:hAnsi="宋体"/>
                <w:kern w:val="0"/>
                <w:szCs w:val="21"/>
              </w:rPr>
              <w:t>质量标准</w:t>
            </w:r>
          </w:p>
        </w:tc>
        <w:tc>
          <w:tcPr>
            <w:tcW w:w="6551"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rPr>
                <w:rFonts w:ascii="宋体"/>
                <w:szCs w:val="21"/>
              </w:rPr>
            </w:pPr>
            <w:r>
              <w:rPr>
                <w:rFonts w:hint="eastAsia" w:ascii="宋体" w:hAnsi="宋体"/>
                <w:kern w:val="0"/>
                <w:szCs w:val="21"/>
              </w:rPr>
              <w:t>符合国家标准。</w:t>
            </w:r>
          </w:p>
        </w:tc>
      </w:tr>
      <w:tr>
        <w:tblPrEx>
          <w:tblCellMar>
            <w:top w:w="0" w:type="dxa"/>
            <w:left w:w="108" w:type="dxa"/>
            <w:bottom w:w="0" w:type="dxa"/>
            <w:right w:w="108" w:type="dxa"/>
          </w:tblCellMar>
        </w:tblPrEx>
        <w:trPr>
          <w:trHeight w:val="798"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eastAsia" w:ascii="宋体" w:eastAsia="宋体"/>
                <w:szCs w:val="21"/>
                <w:lang w:eastAsia="zh-CN"/>
              </w:rPr>
            </w:pPr>
            <w:r>
              <w:rPr>
                <w:rFonts w:hint="eastAsia" w:ascii="宋体" w:hAnsi="宋体"/>
                <w:kern w:val="0"/>
                <w:szCs w:val="21"/>
                <w:lang w:val="en-US" w:eastAsia="zh-CN"/>
              </w:rPr>
              <w:t>4</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rPr>
            </w:pPr>
            <w:r>
              <w:rPr>
                <w:rFonts w:hint="eastAsia" w:ascii="宋体" w:hAnsi="宋体"/>
                <w:kern w:val="0"/>
                <w:szCs w:val="21"/>
              </w:rPr>
              <w:t>供货周期、交货地点</w:t>
            </w:r>
          </w:p>
        </w:tc>
        <w:tc>
          <w:tcPr>
            <w:tcW w:w="6551"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rPr>
                <w:rFonts w:ascii="宋体"/>
                <w:kern w:val="0"/>
                <w:szCs w:val="21"/>
              </w:rPr>
            </w:pPr>
            <w:r>
              <w:rPr>
                <w:rFonts w:hint="eastAsia" w:ascii="宋体" w:hAnsi="宋体"/>
                <w:kern w:val="0"/>
                <w:szCs w:val="21"/>
              </w:rPr>
              <w:t>供货周期：随工程进度；</w:t>
            </w:r>
          </w:p>
          <w:p>
            <w:pPr>
              <w:autoSpaceDE w:val="0"/>
              <w:autoSpaceDN w:val="0"/>
              <w:spacing w:line="300" w:lineRule="exact"/>
              <w:rPr>
                <w:rFonts w:ascii="宋体"/>
                <w:szCs w:val="21"/>
              </w:rPr>
            </w:pPr>
            <w:r>
              <w:rPr>
                <w:rFonts w:hint="eastAsia" w:ascii="宋体" w:hAnsi="宋体"/>
                <w:kern w:val="0"/>
                <w:szCs w:val="21"/>
              </w:rPr>
              <w:t>交货地点：招标人指定地点。</w:t>
            </w:r>
          </w:p>
        </w:tc>
      </w:tr>
      <w:tr>
        <w:tblPrEx>
          <w:tblCellMar>
            <w:top w:w="0" w:type="dxa"/>
            <w:left w:w="108" w:type="dxa"/>
            <w:bottom w:w="0" w:type="dxa"/>
            <w:right w:w="108" w:type="dxa"/>
          </w:tblCellMar>
        </w:tblPrEx>
        <w:trPr>
          <w:trHeight w:val="420"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eastAsia" w:ascii="宋体" w:eastAsia="宋体"/>
                <w:szCs w:val="21"/>
                <w:lang w:eastAsia="zh-CN"/>
              </w:rPr>
            </w:pPr>
            <w:r>
              <w:rPr>
                <w:rFonts w:hint="eastAsia" w:ascii="宋体" w:hAnsi="宋体"/>
                <w:kern w:val="0"/>
                <w:szCs w:val="21"/>
                <w:lang w:val="en-US" w:eastAsia="zh-CN"/>
              </w:rPr>
              <w:t>5</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rPr>
            </w:pPr>
            <w:r>
              <w:rPr>
                <w:rFonts w:hint="eastAsia" w:ascii="宋体" w:hAnsi="宋体"/>
                <w:kern w:val="0"/>
                <w:szCs w:val="21"/>
              </w:rPr>
              <w:t>投标有效期</w:t>
            </w:r>
          </w:p>
        </w:tc>
        <w:tc>
          <w:tcPr>
            <w:tcW w:w="6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szCs w:val="21"/>
              </w:rPr>
            </w:pPr>
            <w:r>
              <w:rPr>
                <w:rFonts w:hint="eastAsia" w:ascii="宋体" w:hAnsi="宋体"/>
                <w:kern w:val="0"/>
                <w:szCs w:val="21"/>
              </w:rPr>
              <w:t>为</w:t>
            </w:r>
            <w:r>
              <w:rPr>
                <w:rFonts w:ascii="宋体" w:hAnsi="宋体"/>
                <w:b/>
                <w:bCs/>
                <w:kern w:val="0"/>
                <w:szCs w:val="21"/>
                <w:u w:val="single"/>
              </w:rPr>
              <w:t xml:space="preserve"> </w:t>
            </w:r>
            <w:r>
              <w:rPr>
                <w:rFonts w:hint="eastAsia" w:ascii="宋体" w:hAnsi="宋体"/>
                <w:b/>
                <w:bCs/>
                <w:kern w:val="0"/>
                <w:szCs w:val="21"/>
                <w:highlight w:val="none"/>
                <w:u w:val="single"/>
                <w:lang w:val="en-US" w:eastAsia="zh-CN"/>
              </w:rPr>
              <w:t>60</w:t>
            </w:r>
            <w:r>
              <w:rPr>
                <w:rFonts w:ascii="宋体" w:hAnsi="宋体"/>
                <w:b/>
                <w:bCs/>
                <w:kern w:val="0"/>
                <w:szCs w:val="21"/>
                <w:u w:val="single"/>
              </w:rPr>
              <w:t xml:space="preserve"> </w:t>
            </w:r>
            <w:r>
              <w:rPr>
                <w:rFonts w:hint="eastAsia" w:ascii="宋体" w:hAnsi="宋体"/>
                <w:b/>
                <w:bCs/>
                <w:kern w:val="0"/>
                <w:szCs w:val="21"/>
                <w:u w:val="single"/>
                <w:lang w:val="en-US" w:eastAsia="zh-CN"/>
              </w:rPr>
              <w:t>个</w:t>
            </w:r>
            <w:r>
              <w:rPr>
                <w:rFonts w:hint="eastAsia" w:ascii="宋体" w:hAnsi="宋体"/>
                <w:b/>
                <w:bCs/>
                <w:kern w:val="0"/>
                <w:szCs w:val="21"/>
                <w:u w:val="none"/>
                <w:lang w:val="en-US" w:eastAsia="zh-CN"/>
              </w:rPr>
              <w:t>工作日</w:t>
            </w:r>
            <w:r>
              <w:rPr>
                <w:rFonts w:hint="eastAsia" w:ascii="宋体" w:hAnsi="宋体"/>
                <w:kern w:val="0"/>
                <w:szCs w:val="21"/>
              </w:rPr>
              <w:t>（从投标截止之日算起）。</w:t>
            </w:r>
          </w:p>
        </w:tc>
      </w:tr>
      <w:tr>
        <w:tblPrEx>
          <w:tblCellMar>
            <w:top w:w="0" w:type="dxa"/>
            <w:left w:w="108" w:type="dxa"/>
            <w:bottom w:w="0" w:type="dxa"/>
            <w:right w:w="108" w:type="dxa"/>
          </w:tblCellMar>
        </w:tblPrEx>
        <w:trPr>
          <w:trHeight w:val="701"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eastAsia" w:ascii="宋体" w:eastAsia="宋体"/>
                <w:szCs w:val="21"/>
                <w:lang w:eastAsia="zh-CN"/>
              </w:rPr>
            </w:pPr>
            <w:r>
              <w:rPr>
                <w:rFonts w:hint="eastAsia" w:ascii="宋体" w:hAnsi="宋体"/>
                <w:kern w:val="0"/>
                <w:szCs w:val="21"/>
                <w:lang w:val="en-US" w:eastAsia="zh-CN"/>
              </w:rPr>
              <w:t>6</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highlight w:val="none"/>
              </w:rPr>
            </w:pPr>
            <w:r>
              <w:rPr>
                <w:rFonts w:hint="eastAsia" w:ascii="宋体" w:hAnsi="宋体"/>
                <w:bCs/>
                <w:spacing w:val="8"/>
                <w:szCs w:val="21"/>
                <w:highlight w:val="none"/>
                <w:lang w:val="en-US" w:eastAsia="zh-CN"/>
              </w:rPr>
              <w:t>竞争性谈判</w:t>
            </w:r>
            <w:r>
              <w:rPr>
                <w:rFonts w:hint="eastAsia" w:ascii="宋体" w:hAnsi="宋体"/>
                <w:bCs/>
                <w:spacing w:val="8"/>
                <w:szCs w:val="21"/>
                <w:highlight w:val="none"/>
              </w:rPr>
              <w:t>投标文件递交地点及截止时间</w:t>
            </w:r>
          </w:p>
        </w:tc>
        <w:tc>
          <w:tcPr>
            <w:tcW w:w="6551" w:type="dxa"/>
            <w:tcBorders>
              <w:top w:val="single" w:color="auto" w:sz="4" w:space="0"/>
              <w:left w:val="single" w:color="auto" w:sz="4" w:space="0"/>
              <w:bottom w:val="single" w:color="auto" w:sz="4" w:space="0"/>
              <w:right w:val="single" w:color="auto" w:sz="4" w:space="0"/>
            </w:tcBorders>
          </w:tcPr>
          <w:p>
            <w:pPr>
              <w:spacing w:line="300" w:lineRule="exact"/>
              <w:ind w:left="-84" w:leftChars="-40" w:right="-108" w:firstLine="105" w:firstLineChars="50"/>
              <w:jc w:val="left"/>
              <w:rPr>
                <w:rFonts w:hint="default" w:ascii="宋体" w:eastAsia="宋体"/>
                <w:color w:val="FF0000"/>
                <w:kern w:val="0"/>
                <w:szCs w:val="21"/>
                <w:highlight w:val="none"/>
                <w:lang w:val="en-US" w:eastAsia="zh-CN"/>
              </w:rPr>
            </w:pPr>
            <w:bookmarkStart w:id="107" w:name="_Toc24289"/>
            <w:bookmarkStart w:id="108" w:name="_Toc11944"/>
            <w:bookmarkStart w:id="109" w:name="_Toc32278"/>
            <w:bookmarkStart w:id="110" w:name="_Toc1436"/>
            <w:bookmarkStart w:id="111" w:name="_Toc24915"/>
            <w:r>
              <w:rPr>
                <w:rFonts w:hint="eastAsia" w:ascii="宋体" w:hAnsi="宋体"/>
                <w:color w:val="FF0000"/>
                <w:kern w:val="0"/>
                <w:szCs w:val="21"/>
                <w:highlight w:val="none"/>
                <w:lang w:val="en-US" w:eastAsia="zh-CN"/>
              </w:rPr>
              <w:t>递交</w:t>
            </w:r>
            <w:r>
              <w:rPr>
                <w:rFonts w:hint="eastAsia" w:ascii="宋体" w:hAnsi="宋体"/>
                <w:color w:val="FF0000"/>
                <w:kern w:val="0"/>
                <w:szCs w:val="21"/>
                <w:highlight w:val="none"/>
              </w:rPr>
              <w:t>时间：</w:t>
            </w:r>
            <w:bookmarkEnd w:id="107"/>
            <w:bookmarkEnd w:id="108"/>
            <w:bookmarkEnd w:id="109"/>
            <w:bookmarkEnd w:id="110"/>
            <w:bookmarkEnd w:id="111"/>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2022</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7</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月</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26</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日</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9</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时</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30</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分</w:t>
            </w:r>
            <w:r>
              <w:rPr>
                <w:rFonts w:hint="eastAsia" w:cs="Times New Roman"/>
                <w:color w:val="FF0000"/>
                <w:highlight w:val="none"/>
                <w:lang w:val="en-US" w:eastAsia="zh-CN"/>
              </w:rPr>
              <w:t>至</w:t>
            </w:r>
            <w:r>
              <w:rPr>
                <w:rFonts w:hint="eastAsia" w:cs="Times New Roman"/>
                <w:color w:val="FF0000"/>
                <w:highlight w:val="none"/>
                <w:u w:val="single"/>
                <w:lang w:val="en-US" w:eastAsia="zh-CN"/>
              </w:rPr>
              <w:t>12</w:t>
            </w:r>
            <w:r>
              <w:rPr>
                <w:rFonts w:hint="eastAsia" w:cs="Times New Roman"/>
                <w:color w:val="FF0000"/>
                <w:highlight w:val="none"/>
                <w:lang w:val="en-US" w:eastAsia="zh-CN"/>
              </w:rPr>
              <w:t>时</w:t>
            </w:r>
            <w:r>
              <w:rPr>
                <w:rFonts w:hint="eastAsia" w:cs="Times New Roman"/>
                <w:color w:val="FF0000"/>
                <w:highlight w:val="none"/>
                <w:u w:val="single"/>
                <w:lang w:val="en-US" w:eastAsia="zh-CN"/>
              </w:rPr>
              <w:t>00</w:t>
            </w:r>
            <w:r>
              <w:rPr>
                <w:rFonts w:hint="eastAsia" w:cs="Times New Roman"/>
                <w:color w:val="FF0000"/>
                <w:highlight w:val="none"/>
                <w:lang w:val="en-US" w:eastAsia="zh-CN"/>
              </w:rPr>
              <w:t>分。</w:t>
            </w:r>
            <w:r>
              <w:rPr>
                <w:rFonts w:hint="eastAsia" w:ascii="宋体" w:hAnsi="宋体"/>
                <w:color w:val="FF0000"/>
                <w:kern w:val="0"/>
                <w:szCs w:val="21"/>
                <w:highlight w:val="none"/>
                <w:lang w:val="en-US" w:eastAsia="zh-CN"/>
              </w:rPr>
              <w:t xml:space="preserve">         </w:t>
            </w:r>
          </w:p>
          <w:p>
            <w:pPr>
              <w:spacing w:line="300" w:lineRule="exact"/>
              <w:ind w:left="-84" w:leftChars="-40" w:right="-108" w:firstLine="105" w:firstLineChars="50"/>
              <w:jc w:val="left"/>
              <w:rPr>
                <w:rFonts w:ascii="宋体"/>
                <w:szCs w:val="21"/>
                <w:highlight w:val="yellow"/>
              </w:rPr>
            </w:pPr>
            <w:bookmarkStart w:id="112" w:name="_Toc1281"/>
            <w:bookmarkStart w:id="113" w:name="_Toc13814"/>
            <w:bookmarkStart w:id="114" w:name="_Toc28403"/>
            <w:bookmarkStart w:id="115" w:name="_Toc27766"/>
            <w:bookmarkStart w:id="116" w:name="_Toc23620"/>
            <w:r>
              <w:rPr>
                <w:rFonts w:hint="eastAsia" w:ascii="宋体" w:hAnsi="宋体"/>
                <w:color w:val="FF0000"/>
                <w:kern w:val="0"/>
                <w:szCs w:val="21"/>
                <w:highlight w:val="none"/>
              </w:rPr>
              <w:t>地</w:t>
            </w:r>
            <w:r>
              <w:rPr>
                <w:rFonts w:hint="eastAsia" w:ascii="宋体" w:hAnsi="宋体"/>
                <w:color w:val="FF0000"/>
                <w:kern w:val="0"/>
                <w:szCs w:val="21"/>
                <w:highlight w:val="none"/>
                <w:lang w:val="en-US" w:eastAsia="zh-CN"/>
              </w:rPr>
              <w:t xml:space="preserve">    </w:t>
            </w:r>
            <w:r>
              <w:rPr>
                <w:rFonts w:hint="eastAsia" w:ascii="宋体" w:hAnsi="宋体"/>
                <w:color w:val="FF0000"/>
                <w:kern w:val="0"/>
                <w:szCs w:val="21"/>
                <w:highlight w:val="none"/>
              </w:rPr>
              <w:t>址：</w:t>
            </w:r>
            <w:bookmarkEnd w:id="112"/>
            <w:bookmarkEnd w:id="113"/>
            <w:bookmarkEnd w:id="114"/>
            <w:bookmarkEnd w:id="115"/>
            <w:bookmarkEnd w:id="116"/>
            <w:r>
              <w:rPr>
                <w:rFonts w:hint="eastAsia" w:ascii="宋体" w:hAnsi="宋体"/>
                <w:color w:val="FF0000"/>
                <w:kern w:val="0"/>
                <w:szCs w:val="21"/>
                <w:highlight w:val="none"/>
              </w:rPr>
              <w:t>贵州省贵阳市南明区云关乡龙洞堡首开紫郡地铁站2号线森林公园站D出口</w:t>
            </w:r>
            <w:r>
              <w:rPr>
                <w:rFonts w:hint="eastAsia" w:ascii="宋体" w:hAnsi="宋体"/>
                <w:color w:val="FF0000"/>
                <w:kern w:val="0"/>
                <w:szCs w:val="21"/>
                <w:highlight w:val="none"/>
                <w:lang w:eastAsia="zh-CN"/>
              </w:rPr>
              <w:t>，</w:t>
            </w:r>
            <w:r>
              <w:rPr>
                <w:rFonts w:hint="eastAsia" w:ascii="宋体" w:hAnsi="宋体"/>
                <w:color w:val="FF0000"/>
                <w:kern w:val="0"/>
                <w:szCs w:val="21"/>
                <w:highlight w:val="none"/>
              </w:rPr>
              <w:t>贵州建工绿地控股</w:t>
            </w:r>
            <w:r>
              <w:rPr>
                <w:rFonts w:hint="eastAsia" w:ascii="宋体" w:hAnsi="宋体"/>
                <w:color w:val="FF0000"/>
                <w:kern w:val="0"/>
                <w:szCs w:val="21"/>
                <w:highlight w:val="none"/>
                <w:lang w:eastAsia="zh-CN"/>
              </w:rPr>
              <w:t>，</w:t>
            </w:r>
            <w:r>
              <w:rPr>
                <w:rFonts w:hint="eastAsia" w:ascii="宋体" w:hAnsi="宋体"/>
                <w:color w:val="FF0000"/>
                <w:kern w:val="0"/>
                <w:szCs w:val="21"/>
                <w:highlight w:val="none"/>
                <w:lang w:val="en-US" w:eastAsia="zh-CN"/>
              </w:rPr>
              <w:t>负一楼第二教室。</w:t>
            </w:r>
          </w:p>
        </w:tc>
      </w:tr>
      <w:tr>
        <w:tblPrEx>
          <w:tblCellMar>
            <w:top w:w="0" w:type="dxa"/>
            <w:left w:w="108" w:type="dxa"/>
            <w:bottom w:w="0" w:type="dxa"/>
            <w:right w:w="108" w:type="dxa"/>
          </w:tblCellMar>
        </w:tblPrEx>
        <w:trPr>
          <w:trHeight w:val="676"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default" w:ascii="宋体" w:eastAsia="宋体"/>
                <w:szCs w:val="21"/>
                <w:lang w:val="en-US" w:eastAsia="zh-CN"/>
              </w:rPr>
            </w:pPr>
            <w:r>
              <w:rPr>
                <w:rFonts w:hint="eastAsia" w:ascii="宋体" w:hAnsi="宋体"/>
                <w:kern w:val="0"/>
                <w:szCs w:val="21"/>
                <w:lang w:val="en-US" w:eastAsia="zh-CN"/>
              </w:rPr>
              <w:t>7</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szCs w:val="21"/>
                <w:highlight w:val="none"/>
              </w:rPr>
            </w:pPr>
            <w:r>
              <w:rPr>
                <w:rFonts w:hint="eastAsia" w:ascii="宋体" w:hAnsi="宋体"/>
                <w:bCs/>
                <w:spacing w:val="8"/>
                <w:szCs w:val="21"/>
                <w:highlight w:val="none"/>
                <w:lang w:val="en-US" w:eastAsia="zh-CN"/>
              </w:rPr>
              <w:t>竞争性谈判</w:t>
            </w:r>
            <w:r>
              <w:rPr>
                <w:rFonts w:hint="eastAsia" w:ascii="宋体" w:hAnsi="宋体"/>
                <w:bCs/>
                <w:spacing w:val="8"/>
                <w:szCs w:val="21"/>
                <w:highlight w:val="none"/>
              </w:rPr>
              <w:t>时间及地点</w:t>
            </w:r>
          </w:p>
        </w:tc>
        <w:tc>
          <w:tcPr>
            <w:tcW w:w="6551" w:type="dxa"/>
            <w:tcBorders>
              <w:top w:val="single" w:color="auto" w:sz="4" w:space="0"/>
              <w:left w:val="single" w:color="auto" w:sz="4" w:space="0"/>
              <w:bottom w:val="single" w:color="auto" w:sz="4" w:space="0"/>
              <w:right w:val="single" w:color="auto" w:sz="4" w:space="0"/>
            </w:tcBorders>
          </w:tcPr>
          <w:p>
            <w:pPr>
              <w:spacing w:line="300" w:lineRule="exact"/>
              <w:ind w:left="-84" w:leftChars="-40" w:right="-108" w:firstLine="105" w:firstLineChars="50"/>
              <w:jc w:val="left"/>
              <w:rPr>
                <w:rFonts w:hint="eastAsia" w:ascii="宋体" w:eastAsia="宋体"/>
                <w:color w:val="FF0000"/>
                <w:kern w:val="0"/>
                <w:szCs w:val="21"/>
                <w:highlight w:val="none"/>
                <w:lang w:val="en-US" w:eastAsia="zh-CN"/>
              </w:rPr>
            </w:pPr>
            <w:bookmarkStart w:id="117" w:name="_Toc11052"/>
            <w:bookmarkStart w:id="118" w:name="_Toc16685"/>
            <w:bookmarkStart w:id="119" w:name="_Toc25752"/>
            <w:bookmarkStart w:id="120" w:name="_Toc22823"/>
            <w:bookmarkStart w:id="121" w:name="_Toc30731"/>
            <w:r>
              <w:rPr>
                <w:rFonts w:hint="eastAsia" w:ascii="宋体" w:hAnsi="宋体"/>
                <w:color w:val="FF0000"/>
                <w:kern w:val="0"/>
                <w:szCs w:val="21"/>
                <w:highlight w:val="none"/>
              </w:rPr>
              <w:t>开标时间：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2022</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年</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7</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月</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cs="Times New Roman"/>
                <w:color w:val="FF0000"/>
                <w:kern w:val="2"/>
                <w:sz w:val="21"/>
                <w:szCs w:val="24"/>
                <w:highlight w:val="none"/>
                <w:u w:val="single"/>
                <w:lang w:val="en-US" w:eastAsia="zh-CN" w:bidi="ar-SA"/>
              </w:rPr>
              <w:t>26</w:t>
            </w:r>
            <w:r>
              <w:rPr>
                <w:rFonts w:hint="eastAsia" w:ascii="宋体" w:hAnsi="宋体" w:eastAsia="宋体" w:cs="Times New Roman"/>
                <w:color w:val="FF0000"/>
                <w:kern w:val="2"/>
                <w:sz w:val="21"/>
                <w:szCs w:val="24"/>
                <w:highlight w:val="none"/>
                <w:u w:val="single"/>
                <w:lang w:val="en-US" w:eastAsia="zh-CN" w:bidi="ar-SA"/>
              </w:rPr>
              <w:t xml:space="preserve"> </w:t>
            </w:r>
            <w:r>
              <w:rPr>
                <w:rFonts w:hint="eastAsia" w:ascii="宋体" w:hAnsi="宋体" w:eastAsia="宋体" w:cs="Times New Roman"/>
                <w:color w:val="FF0000"/>
                <w:kern w:val="2"/>
                <w:sz w:val="21"/>
                <w:szCs w:val="24"/>
                <w:highlight w:val="none"/>
                <w:lang w:val="en-US" w:eastAsia="zh-CN" w:bidi="ar-SA"/>
              </w:rPr>
              <w:t>日</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14</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时</w:t>
            </w:r>
            <w:r>
              <w:rPr>
                <w:rFonts w:hint="eastAsia" w:ascii="Times New Roman" w:hAnsi="Times New Roman" w:eastAsia="宋体" w:cs="Times New Roman"/>
                <w:color w:val="FF0000"/>
                <w:highlight w:val="none"/>
                <w:u w:val="single"/>
                <w:lang w:val="en-US" w:eastAsia="zh-CN"/>
              </w:rPr>
              <w:t xml:space="preserve"> </w:t>
            </w:r>
            <w:r>
              <w:rPr>
                <w:rFonts w:hint="eastAsia" w:cs="Times New Roman"/>
                <w:color w:val="FF0000"/>
                <w:highlight w:val="none"/>
                <w:u w:val="single"/>
                <w:lang w:val="en-US" w:eastAsia="zh-CN"/>
              </w:rPr>
              <w:t>30</w:t>
            </w:r>
            <w:r>
              <w:rPr>
                <w:rFonts w:hint="eastAsia" w:ascii="Times New Roman" w:hAnsi="Times New Roman" w:eastAsia="宋体" w:cs="Times New Roman"/>
                <w:color w:val="FF0000"/>
                <w:highlight w:val="none"/>
                <w:u w:val="single"/>
                <w:lang w:val="en-US" w:eastAsia="zh-CN"/>
              </w:rPr>
              <w:t xml:space="preserve"> </w:t>
            </w:r>
            <w:r>
              <w:rPr>
                <w:rFonts w:hint="eastAsia" w:ascii="Times New Roman" w:hAnsi="Times New Roman" w:eastAsia="宋体" w:cs="Times New Roman"/>
                <w:color w:val="FF0000"/>
                <w:highlight w:val="none"/>
                <w:lang w:val="en-US" w:eastAsia="zh-CN"/>
              </w:rPr>
              <w:t>分</w:t>
            </w:r>
            <w:r>
              <w:rPr>
                <w:rFonts w:ascii="宋体" w:hAnsi="宋体"/>
                <w:color w:val="FF0000"/>
                <w:kern w:val="0"/>
                <w:szCs w:val="21"/>
                <w:highlight w:val="none"/>
              </w:rPr>
              <w:t xml:space="preserve"> </w:t>
            </w:r>
            <w:bookmarkEnd w:id="117"/>
            <w:bookmarkEnd w:id="118"/>
            <w:bookmarkEnd w:id="119"/>
            <w:bookmarkEnd w:id="120"/>
            <w:bookmarkEnd w:id="121"/>
            <w:r>
              <w:rPr>
                <w:rFonts w:hint="eastAsia" w:ascii="宋体" w:hAnsi="宋体"/>
                <w:color w:val="FF0000"/>
                <w:kern w:val="0"/>
                <w:szCs w:val="21"/>
                <w:highlight w:val="none"/>
                <w:lang w:eastAsia="zh-CN"/>
              </w:rPr>
              <w:t>。</w:t>
            </w:r>
          </w:p>
          <w:p>
            <w:pPr>
              <w:spacing w:line="300" w:lineRule="exact"/>
              <w:ind w:left="-84" w:leftChars="-40" w:right="-108" w:firstLine="105" w:firstLineChars="50"/>
              <w:jc w:val="left"/>
              <w:rPr>
                <w:rFonts w:hAnsi="宋体"/>
                <w:szCs w:val="21"/>
                <w:highlight w:val="yellow"/>
              </w:rPr>
            </w:pPr>
            <w:bookmarkStart w:id="122" w:name="_Toc1800"/>
            <w:bookmarkStart w:id="123" w:name="_Toc16447"/>
            <w:bookmarkStart w:id="124" w:name="_Toc7921"/>
            <w:r>
              <w:rPr>
                <w:rFonts w:hint="eastAsia" w:ascii="宋体" w:hAnsi="宋体"/>
                <w:color w:val="FF0000"/>
                <w:szCs w:val="21"/>
                <w:highlight w:val="none"/>
              </w:rPr>
              <w:t>地</w:t>
            </w:r>
            <w:r>
              <w:rPr>
                <w:rFonts w:hint="eastAsia" w:ascii="宋体" w:hAnsi="宋体"/>
                <w:color w:val="FF0000"/>
                <w:szCs w:val="21"/>
                <w:highlight w:val="none"/>
                <w:lang w:val="en-US" w:eastAsia="zh-CN"/>
              </w:rPr>
              <w:t xml:space="preserve">    </w:t>
            </w:r>
            <w:r>
              <w:rPr>
                <w:rFonts w:hint="eastAsia" w:ascii="宋体" w:hAnsi="宋体"/>
                <w:color w:val="FF0000"/>
                <w:szCs w:val="21"/>
                <w:highlight w:val="none"/>
              </w:rPr>
              <w:t>点：</w:t>
            </w:r>
            <w:bookmarkEnd w:id="122"/>
            <w:bookmarkEnd w:id="123"/>
            <w:bookmarkEnd w:id="124"/>
            <w:r>
              <w:rPr>
                <w:rFonts w:hint="eastAsia" w:ascii="宋体" w:hAnsi="宋体"/>
                <w:color w:val="FF0000"/>
                <w:kern w:val="0"/>
                <w:szCs w:val="21"/>
                <w:highlight w:val="none"/>
              </w:rPr>
              <w:t>贵州省贵阳市南明区云关乡龙洞堡首开紫郡地铁站2号线森林公园站D出口</w:t>
            </w:r>
            <w:r>
              <w:rPr>
                <w:rFonts w:hint="eastAsia" w:ascii="宋体" w:hAnsi="宋体"/>
                <w:color w:val="FF0000"/>
                <w:kern w:val="0"/>
                <w:szCs w:val="21"/>
                <w:highlight w:val="none"/>
                <w:lang w:eastAsia="zh-CN"/>
              </w:rPr>
              <w:t>，</w:t>
            </w:r>
            <w:r>
              <w:rPr>
                <w:rFonts w:hint="eastAsia" w:ascii="宋体" w:hAnsi="宋体"/>
                <w:color w:val="FF0000"/>
                <w:kern w:val="0"/>
                <w:szCs w:val="21"/>
                <w:highlight w:val="none"/>
              </w:rPr>
              <w:t>贵州建工绿地控股</w:t>
            </w:r>
            <w:r>
              <w:rPr>
                <w:rFonts w:hint="eastAsia" w:ascii="宋体" w:hAnsi="宋体"/>
                <w:color w:val="FF0000"/>
                <w:kern w:val="0"/>
                <w:szCs w:val="21"/>
                <w:highlight w:val="none"/>
                <w:lang w:eastAsia="zh-CN"/>
              </w:rPr>
              <w:t>，</w:t>
            </w:r>
            <w:r>
              <w:rPr>
                <w:rFonts w:hint="eastAsia" w:ascii="宋体" w:hAnsi="宋体"/>
                <w:color w:val="FF0000"/>
                <w:kern w:val="0"/>
                <w:szCs w:val="21"/>
                <w:highlight w:val="none"/>
                <w:lang w:val="en-US" w:eastAsia="zh-CN"/>
              </w:rPr>
              <w:t>负一楼第二教室。</w:t>
            </w:r>
          </w:p>
        </w:tc>
      </w:tr>
      <w:tr>
        <w:tblPrEx>
          <w:tblCellMar>
            <w:top w:w="0" w:type="dxa"/>
            <w:left w:w="108" w:type="dxa"/>
            <w:bottom w:w="0" w:type="dxa"/>
            <w:right w:w="108" w:type="dxa"/>
          </w:tblCellMar>
        </w:tblPrEx>
        <w:trPr>
          <w:trHeight w:val="421" w:hRule="atLeast"/>
        </w:trPr>
        <w:tc>
          <w:tcPr>
            <w:tcW w:w="799"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hint="default" w:ascii="宋体" w:eastAsia="宋体"/>
                <w:szCs w:val="21"/>
                <w:lang w:val="en-US" w:eastAsia="zh-CN"/>
              </w:rPr>
            </w:pPr>
            <w:r>
              <w:rPr>
                <w:rFonts w:hint="eastAsia" w:ascii="宋体" w:hAnsi="宋体"/>
                <w:kern w:val="0"/>
                <w:szCs w:val="21"/>
                <w:lang w:val="en-US" w:eastAsia="zh-CN"/>
              </w:rPr>
              <w:t>8</w:t>
            </w:r>
          </w:p>
        </w:tc>
        <w:tc>
          <w:tcPr>
            <w:tcW w:w="2269" w:type="dxa"/>
            <w:gridSpan w:val="2"/>
            <w:tcBorders>
              <w:top w:val="single" w:color="auto" w:sz="4" w:space="0"/>
              <w:left w:val="single" w:color="auto" w:sz="4" w:space="0"/>
              <w:right w:val="single" w:color="auto" w:sz="4" w:space="0"/>
            </w:tcBorders>
            <w:vAlign w:val="center"/>
          </w:tcPr>
          <w:p>
            <w:pPr>
              <w:spacing w:line="300" w:lineRule="exact"/>
              <w:jc w:val="center"/>
              <w:rPr>
                <w:rFonts w:ascii="宋体"/>
                <w:szCs w:val="21"/>
              </w:rPr>
            </w:pPr>
            <w:r>
              <w:rPr>
                <w:rFonts w:hint="eastAsia" w:ascii="宋体" w:hAnsi="宋体"/>
                <w:szCs w:val="21"/>
              </w:rPr>
              <w:t>评标方法</w:t>
            </w:r>
          </w:p>
        </w:tc>
        <w:tc>
          <w:tcPr>
            <w:tcW w:w="6551" w:type="dxa"/>
            <w:tcBorders>
              <w:top w:val="single" w:color="auto" w:sz="4" w:space="0"/>
              <w:left w:val="single" w:color="auto" w:sz="4" w:space="0"/>
              <w:right w:val="single" w:color="auto" w:sz="4" w:space="0"/>
            </w:tcBorders>
            <w:vAlign w:val="center"/>
          </w:tcPr>
          <w:p>
            <w:pPr>
              <w:spacing w:line="300" w:lineRule="exact"/>
              <w:rPr>
                <w:rFonts w:hint="eastAsia" w:ascii="宋体" w:eastAsia="宋体"/>
                <w:szCs w:val="21"/>
                <w:lang w:eastAsia="zh-CN"/>
              </w:rPr>
            </w:pPr>
            <w:r>
              <w:rPr>
                <w:rFonts w:hint="eastAsia" w:ascii="宋体" w:hAnsi="宋体"/>
                <w:strike w:val="0"/>
                <w:dstrike w:val="0"/>
                <w:szCs w:val="21"/>
                <w:highlight w:val="none"/>
              </w:rPr>
              <w:t>综合评估法</w:t>
            </w:r>
          </w:p>
        </w:tc>
      </w:tr>
      <w:tr>
        <w:tblPrEx>
          <w:tblCellMar>
            <w:top w:w="0" w:type="dxa"/>
            <w:left w:w="108" w:type="dxa"/>
            <w:bottom w:w="0" w:type="dxa"/>
            <w:right w:w="108" w:type="dxa"/>
          </w:tblCellMar>
        </w:tblPrEx>
        <w:trPr>
          <w:trHeight w:val="422"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default" w:ascii="宋体" w:hAnsi="宋体"/>
                <w:kern w:val="0"/>
                <w:szCs w:val="21"/>
                <w:lang w:val="en-US" w:eastAsia="zh-CN"/>
              </w:rPr>
            </w:pPr>
            <w:r>
              <w:rPr>
                <w:rFonts w:hint="eastAsia" w:ascii="宋体" w:hAnsi="宋体"/>
                <w:kern w:val="0"/>
                <w:szCs w:val="21"/>
                <w:lang w:val="en-US" w:eastAsia="zh-CN"/>
              </w:rPr>
              <w:t>9</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trike w:val="0"/>
                <w:dstrike w:val="0"/>
                <w:szCs w:val="21"/>
                <w:highlight w:val="none"/>
              </w:rPr>
              <w:t>费用承担</w:t>
            </w:r>
          </w:p>
        </w:tc>
        <w:tc>
          <w:tcPr>
            <w:tcW w:w="65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Cs w:val="21"/>
              </w:rPr>
            </w:pPr>
            <w:r>
              <w:rPr>
                <w:rFonts w:hint="eastAsia" w:ascii="宋体" w:hAnsi="宋体"/>
                <w:strike w:val="0"/>
                <w:dstrike w:val="0"/>
                <w:szCs w:val="21"/>
                <w:highlight w:val="none"/>
                <w:lang w:val="en-US" w:eastAsia="zh-CN"/>
              </w:rPr>
              <w:t>投标人</w:t>
            </w:r>
            <w:r>
              <w:rPr>
                <w:rFonts w:hint="eastAsia" w:ascii="宋体" w:hAnsi="宋体"/>
                <w:strike w:val="0"/>
                <w:dstrike w:val="0"/>
                <w:szCs w:val="21"/>
                <w:highlight w:val="none"/>
              </w:rPr>
              <w:t>谈判准备和参加竞争性谈判活动发生的费用自理</w:t>
            </w:r>
          </w:p>
        </w:tc>
      </w:tr>
      <w:tr>
        <w:tblPrEx>
          <w:tblCellMar>
            <w:top w:w="0" w:type="dxa"/>
            <w:left w:w="108" w:type="dxa"/>
            <w:bottom w:w="0" w:type="dxa"/>
            <w:right w:w="108" w:type="dxa"/>
          </w:tblCellMar>
        </w:tblPrEx>
        <w:trPr>
          <w:trHeight w:val="698"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default" w:ascii="宋体" w:hAnsi="宋体"/>
                <w:kern w:val="0"/>
                <w:szCs w:val="21"/>
                <w:lang w:val="en-US" w:eastAsia="zh-CN"/>
              </w:rPr>
            </w:pPr>
            <w:r>
              <w:rPr>
                <w:rFonts w:hint="eastAsia" w:ascii="宋体" w:hAnsi="宋体"/>
                <w:kern w:val="0"/>
                <w:szCs w:val="21"/>
                <w:lang w:val="en-US" w:eastAsia="zh-CN"/>
              </w:rPr>
              <w:t>10</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pStyle w:val="47"/>
              <w:spacing w:line="324" w:lineRule="exact"/>
              <w:ind w:left="108"/>
              <w:jc w:val="center"/>
              <w:rPr>
                <w:rFonts w:hint="eastAsia" w:ascii="宋体" w:hAnsi="宋体" w:eastAsia="宋体" w:cs="Times New Roman"/>
                <w:strike w:val="0"/>
                <w:dstrike w:val="0"/>
                <w:kern w:val="2"/>
                <w:sz w:val="21"/>
                <w:szCs w:val="21"/>
                <w:highlight w:val="none"/>
                <w:lang w:val="en-US" w:eastAsia="zh-CN" w:bidi="ar-SA"/>
              </w:rPr>
            </w:pPr>
            <w:r>
              <w:rPr>
                <w:rFonts w:hint="eastAsia" w:ascii="宋体" w:hAnsi="宋体" w:eastAsia="宋体" w:cs="Times New Roman"/>
                <w:strike w:val="0"/>
                <w:dstrike w:val="0"/>
                <w:kern w:val="2"/>
                <w:sz w:val="21"/>
                <w:szCs w:val="21"/>
                <w:highlight w:val="none"/>
                <w:lang w:val="en-US" w:eastAsia="zh-CN" w:bidi="ar-SA"/>
              </w:rPr>
              <w:t>评审小组确定</w:t>
            </w:r>
          </w:p>
          <w:p>
            <w:pPr>
              <w:pStyle w:val="47"/>
              <w:spacing w:line="324" w:lineRule="exact"/>
              <w:ind w:left="108"/>
              <w:jc w:val="center"/>
              <w:rPr>
                <w:rFonts w:hint="eastAsia" w:ascii="宋体" w:hAnsi="宋体" w:eastAsia="宋体" w:cs="Times New Roman"/>
                <w:strike w:val="0"/>
                <w:dstrike w:val="0"/>
                <w:kern w:val="2"/>
                <w:sz w:val="21"/>
                <w:szCs w:val="21"/>
                <w:highlight w:val="none"/>
                <w:lang w:val="en-US" w:eastAsia="zh-CN" w:bidi="ar-SA"/>
              </w:rPr>
            </w:pPr>
            <w:r>
              <w:rPr>
                <w:rFonts w:hint="eastAsia" w:ascii="宋体" w:hAnsi="宋体" w:eastAsia="宋体" w:cs="Times New Roman"/>
                <w:strike w:val="0"/>
                <w:dstrike w:val="0"/>
                <w:kern w:val="2"/>
                <w:sz w:val="21"/>
                <w:szCs w:val="21"/>
                <w:highlight w:val="none"/>
                <w:lang w:val="en-US" w:eastAsia="zh-CN" w:bidi="ar-SA"/>
              </w:rPr>
              <w:t>成交供应商</w:t>
            </w:r>
          </w:p>
        </w:tc>
        <w:tc>
          <w:tcPr>
            <w:tcW w:w="65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Times New Roman"/>
                <w:strike w:val="0"/>
                <w:dstrike w:val="0"/>
                <w:kern w:val="2"/>
                <w:sz w:val="21"/>
                <w:szCs w:val="21"/>
                <w:highlight w:val="none"/>
                <w:lang w:val="en-US" w:eastAsia="zh-CN" w:bidi="ar-SA"/>
              </w:rPr>
            </w:pPr>
            <w:r>
              <w:rPr>
                <w:rFonts w:hint="eastAsia" w:ascii="宋体" w:hAnsi="宋体" w:eastAsia="宋体" w:cs="Times New Roman"/>
                <w:strike w:val="0"/>
                <w:dstrike w:val="0"/>
                <w:kern w:val="2"/>
                <w:sz w:val="21"/>
                <w:szCs w:val="21"/>
                <w:highlight w:val="none"/>
                <w:lang w:val="en-US" w:eastAsia="zh-CN" w:bidi="ar-SA"/>
              </w:rPr>
              <w:t>限推荐 1-</w:t>
            </w:r>
            <w:r>
              <w:rPr>
                <w:rFonts w:hint="eastAsia" w:ascii="宋体" w:hAnsi="宋体" w:cs="Times New Roman"/>
                <w:strike w:val="0"/>
                <w:dstrike w:val="0"/>
                <w:kern w:val="2"/>
                <w:sz w:val="21"/>
                <w:szCs w:val="21"/>
                <w:highlight w:val="none"/>
                <w:lang w:val="en-US" w:eastAsia="zh-CN" w:bidi="ar-SA"/>
              </w:rPr>
              <w:t>4</w:t>
            </w:r>
            <w:r>
              <w:rPr>
                <w:rFonts w:hint="eastAsia" w:ascii="宋体" w:hAnsi="宋体" w:eastAsia="宋体" w:cs="Times New Roman"/>
                <w:strike w:val="0"/>
                <w:dstrike w:val="0"/>
                <w:kern w:val="2"/>
                <w:sz w:val="21"/>
                <w:szCs w:val="21"/>
                <w:highlight w:val="none"/>
                <w:lang w:val="en-US" w:eastAsia="zh-CN" w:bidi="ar-SA"/>
              </w:rPr>
              <w:t xml:space="preserve"> 名成交候选人。</w:t>
            </w:r>
          </w:p>
        </w:tc>
      </w:tr>
      <w:tr>
        <w:tblPrEx>
          <w:tblCellMar>
            <w:top w:w="0" w:type="dxa"/>
            <w:left w:w="108" w:type="dxa"/>
            <w:bottom w:w="0" w:type="dxa"/>
            <w:right w:w="108" w:type="dxa"/>
          </w:tblCellMar>
        </w:tblPrEx>
        <w:trPr>
          <w:trHeight w:val="798"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default" w:ascii="宋体" w:eastAsia="宋体"/>
                <w:szCs w:val="21"/>
                <w:lang w:val="en-US" w:eastAsia="zh-CN"/>
              </w:rPr>
            </w:pPr>
            <w:r>
              <w:rPr>
                <w:rFonts w:hint="eastAsia" w:ascii="宋体" w:hAnsi="宋体"/>
                <w:kern w:val="0"/>
                <w:szCs w:val="21"/>
                <w:lang w:val="en-US" w:eastAsia="zh-CN"/>
              </w:rPr>
              <w:t>10</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Cs w:val="21"/>
              </w:rPr>
            </w:pPr>
            <w:r>
              <w:rPr>
                <w:rFonts w:hint="eastAsia" w:ascii="宋体" w:hAnsi="宋体"/>
                <w:szCs w:val="21"/>
              </w:rPr>
              <w:t>其它要求</w:t>
            </w:r>
          </w:p>
        </w:tc>
        <w:tc>
          <w:tcPr>
            <w:tcW w:w="65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zCs w:val="21"/>
              </w:rPr>
            </w:pPr>
            <w:r>
              <w:rPr>
                <w:rFonts w:hint="eastAsia" w:ascii="宋体" w:hAnsi="宋体"/>
                <w:szCs w:val="21"/>
              </w:rPr>
              <w:t>中标人不得“分包、转包”，否则招标人有权终止合同，中标人承担由此造成的全部损失。超过招标截止时间投标方少于</w:t>
            </w:r>
            <w:r>
              <w:rPr>
                <w:rFonts w:hint="eastAsia" w:ascii="宋体" w:hAnsi="宋体"/>
                <w:szCs w:val="21"/>
                <w:lang w:val="en-US" w:eastAsia="zh-CN"/>
              </w:rPr>
              <w:t>四</w:t>
            </w:r>
            <w:r>
              <w:rPr>
                <w:rFonts w:hint="eastAsia" w:ascii="宋体" w:hAnsi="宋体"/>
                <w:szCs w:val="21"/>
              </w:rPr>
              <w:t>家，</w:t>
            </w:r>
            <w:r>
              <w:rPr>
                <w:rFonts w:ascii="宋体"/>
                <w:szCs w:val="21"/>
              </w:rPr>
              <w:t xml:space="preserve"> </w:t>
            </w:r>
            <w:r>
              <w:rPr>
                <w:rFonts w:hint="eastAsia" w:ascii="宋体"/>
                <w:szCs w:val="21"/>
              </w:rPr>
              <w:t>招标失败。</w:t>
            </w:r>
          </w:p>
        </w:tc>
      </w:tr>
      <w:tr>
        <w:tblPrEx>
          <w:tblCellMar>
            <w:top w:w="0" w:type="dxa"/>
            <w:left w:w="108" w:type="dxa"/>
            <w:bottom w:w="0" w:type="dxa"/>
            <w:right w:w="108" w:type="dxa"/>
          </w:tblCellMar>
        </w:tblPrEx>
        <w:trPr>
          <w:trHeight w:val="798"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eastAsia" w:ascii="宋体" w:hAnsi="宋体"/>
                <w:kern w:val="0"/>
                <w:szCs w:val="21"/>
                <w:lang w:val="en-US" w:eastAsia="zh-CN"/>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保密</w:t>
            </w:r>
          </w:p>
        </w:tc>
        <w:tc>
          <w:tcPr>
            <w:tcW w:w="65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Cs w:val="21"/>
              </w:rPr>
            </w:pPr>
            <w:r>
              <w:rPr>
                <w:rFonts w:hint="eastAsia"/>
                <w:color w:val="FF0000"/>
                <w:lang w:val="en-US" w:eastAsia="zh-CN"/>
              </w:rPr>
              <w:t>参与投标活动的各方应对竞争性谈判秘密保密，违者应对由此造成的后果承担法律责任。</w:t>
            </w:r>
          </w:p>
        </w:tc>
      </w:tr>
      <w:tr>
        <w:tblPrEx>
          <w:tblCellMar>
            <w:top w:w="0" w:type="dxa"/>
            <w:left w:w="108" w:type="dxa"/>
            <w:bottom w:w="0" w:type="dxa"/>
            <w:right w:w="108" w:type="dxa"/>
          </w:tblCellMar>
        </w:tblPrEx>
        <w:trPr>
          <w:trHeight w:val="2728" w:hRule="atLeast"/>
        </w:trPr>
        <w:tc>
          <w:tcPr>
            <w:tcW w:w="7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hint="default" w:ascii="宋体" w:eastAsia="宋体"/>
                <w:szCs w:val="21"/>
                <w:lang w:val="en-US" w:eastAsia="zh-CN"/>
              </w:rPr>
            </w:pPr>
            <w:r>
              <w:rPr>
                <w:rFonts w:hint="eastAsia" w:ascii="宋体" w:hAnsi="宋体"/>
                <w:kern w:val="0"/>
                <w:szCs w:val="21"/>
                <w:lang w:val="en-US" w:eastAsia="zh-CN"/>
              </w:rPr>
              <w:t>11</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Cs w:val="21"/>
              </w:rPr>
            </w:pPr>
            <w:r>
              <w:rPr>
                <w:rFonts w:hint="eastAsia" w:ascii="宋体" w:hAnsi="宋体"/>
                <w:szCs w:val="21"/>
              </w:rPr>
              <w:t>资格</w:t>
            </w:r>
          </w:p>
          <w:p>
            <w:pPr>
              <w:spacing w:line="300" w:lineRule="exact"/>
              <w:jc w:val="center"/>
              <w:rPr>
                <w:rFonts w:ascii="宋体"/>
                <w:szCs w:val="21"/>
              </w:rPr>
            </w:pPr>
            <w:r>
              <w:rPr>
                <w:rFonts w:hint="eastAsia" w:ascii="宋体" w:hAnsi="宋体"/>
                <w:szCs w:val="21"/>
              </w:rPr>
              <w:t>审查</w:t>
            </w:r>
          </w:p>
        </w:tc>
        <w:tc>
          <w:tcPr>
            <w:tcW w:w="795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zCs w:val="21"/>
              </w:rPr>
            </w:pPr>
            <w:r>
              <w:rPr>
                <w:rFonts w:hint="eastAsia" w:ascii="宋体" w:hAnsi="宋体"/>
                <w:b/>
                <w:szCs w:val="21"/>
              </w:rPr>
              <w:t>投标人应提交以下证件和资料进行资格审查，有一项审查不合格的投标文件不进行评标。</w:t>
            </w:r>
          </w:p>
          <w:p>
            <w:pPr>
              <w:spacing w:line="300" w:lineRule="exact"/>
              <w:rPr>
                <w:rFonts w:ascii="宋体"/>
                <w:b/>
                <w:szCs w:val="21"/>
              </w:rPr>
            </w:pPr>
            <w:r>
              <w:rPr>
                <w:rFonts w:hint="eastAsia" w:ascii="宋体" w:hAnsi="宋体"/>
                <w:b/>
                <w:szCs w:val="21"/>
              </w:rPr>
              <w:t>投标人为代理商：</w:t>
            </w:r>
          </w:p>
          <w:p>
            <w:pPr>
              <w:widowControl/>
              <w:numPr>
                <w:ilvl w:val="0"/>
                <w:numId w:val="7"/>
              </w:numPr>
              <w:spacing w:line="300" w:lineRule="exact"/>
              <w:jc w:val="left"/>
              <w:rPr>
                <w:rFonts w:ascii="宋体"/>
                <w:szCs w:val="21"/>
              </w:rPr>
            </w:pPr>
            <w:r>
              <w:rPr>
                <w:rFonts w:hint="eastAsia" w:ascii="宋体" w:hAnsi="宋体"/>
                <w:szCs w:val="21"/>
              </w:rPr>
              <w:t>法定代表人资格证明书和身份证或法定代表人授权委托书和委托人身份证（原件）</w:t>
            </w:r>
          </w:p>
          <w:p>
            <w:pPr>
              <w:adjustRightInd w:val="0"/>
              <w:snapToGrid w:val="0"/>
              <w:spacing w:line="300" w:lineRule="exact"/>
              <w:rPr>
                <w:rFonts w:hint="eastAsia" w:ascii="宋体" w:hAnsi="宋体" w:eastAsia="宋体"/>
                <w:szCs w:val="21"/>
                <w:lang w:eastAsia="zh-CN"/>
              </w:rPr>
            </w:pPr>
            <w:r>
              <w:rPr>
                <w:rFonts w:hint="eastAsia" w:ascii="宋体" w:hAnsi="宋体"/>
                <w:szCs w:val="21"/>
              </w:rPr>
              <w:t>法人营业执照（副本）、税务登记证（副本）、组织机构代码证（副本）、银行基本帐户开户许可证、资信证明</w:t>
            </w:r>
            <w:r>
              <w:rPr>
                <w:rFonts w:hint="eastAsia" w:ascii="宋体" w:hAnsi="宋体"/>
                <w:szCs w:val="21"/>
                <w:lang w:eastAsia="zh-CN"/>
              </w:rPr>
              <w:t>、</w:t>
            </w:r>
            <w:r>
              <w:rPr>
                <w:rFonts w:hint="eastAsia" w:ascii="宋体" w:hAnsi="宋体"/>
                <w:szCs w:val="21"/>
                <w:lang w:val="en-US" w:eastAsia="zh-CN"/>
              </w:rPr>
              <w:t>近三年的</w:t>
            </w:r>
            <w:r>
              <w:rPr>
                <w:rFonts w:hint="eastAsia" w:ascii="Times New Roman" w:hAnsi="Times New Roman" w:eastAsia="宋体" w:cs="Times New Roman"/>
                <w:color w:val="auto"/>
                <w:highlight w:val="none"/>
                <w:lang w:val="en-US" w:eastAsia="zh-CN"/>
              </w:rPr>
              <w:t>审计报告</w:t>
            </w:r>
            <w:r>
              <w:rPr>
                <w:rFonts w:hint="eastAsia" w:cs="Times New Roman"/>
                <w:color w:val="auto"/>
                <w:highlight w:val="none"/>
                <w:lang w:val="en-US" w:eastAsia="zh-CN"/>
              </w:rPr>
              <w:t>、业务证明</w:t>
            </w:r>
            <w:bookmarkStart w:id="397" w:name="_GoBack"/>
            <w:bookmarkEnd w:id="397"/>
            <w:r>
              <w:rPr>
                <w:rFonts w:hint="eastAsia" w:ascii="宋体" w:hAnsi="宋体"/>
                <w:szCs w:val="21"/>
                <w:lang w:eastAsia="zh-CN"/>
              </w:rPr>
              <w:t>。</w:t>
            </w:r>
            <w:r>
              <w:rPr>
                <w:rFonts w:hint="eastAsia" w:ascii="宋体" w:hAnsi="宋体"/>
                <w:szCs w:val="21"/>
              </w:rPr>
              <w:t>（营业执照已三证合一的，可不提供税务登记证、组织机构代码证）</w:t>
            </w:r>
          </w:p>
          <w:p>
            <w:pPr>
              <w:adjustRightInd w:val="0"/>
              <w:snapToGrid w:val="0"/>
              <w:spacing w:line="300" w:lineRule="exact"/>
              <w:rPr>
                <w:rFonts w:ascii="宋体"/>
                <w:szCs w:val="21"/>
              </w:rPr>
            </w:pPr>
            <w:r>
              <w:rPr>
                <w:rFonts w:hint="eastAsia" w:cs="Times New Roman"/>
                <w:b w:val="0"/>
                <w:kern w:val="2"/>
                <w:sz w:val="21"/>
                <w:szCs w:val="24"/>
                <w:lang w:val="en-US" w:eastAsia="zh-CN" w:bidi="ar-SA"/>
              </w:rPr>
              <w:t>注：（以上所述如有缺失，参照本次招标“竞争性谈判招标公告”第3条投标人资格要求进行审核。）</w:t>
            </w:r>
          </w:p>
        </w:tc>
      </w:tr>
    </w:tbl>
    <w:p>
      <w:pPr>
        <w:ind w:firstLine="420" w:firstLineChars="200"/>
        <w:rPr>
          <w:rFonts w:ascii="宋体"/>
        </w:rPr>
      </w:pPr>
      <w:r>
        <w:rPr>
          <w:rFonts w:ascii="仿宋_GB2312"/>
          <w:szCs w:val="28"/>
        </w:rPr>
        <w:br w:type="page"/>
      </w:r>
      <w:bookmarkEnd w:id="75"/>
      <w:bookmarkEnd w:id="76"/>
      <w:bookmarkEnd w:id="77"/>
      <w:bookmarkEnd w:id="78"/>
      <w:bookmarkEnd w:id="79"/>
    </w:p>
    <w:p>
      <w:pPr>
        <w:pStyle w:val="4"/>
        <w:numPr>
          <w:ilvl w:val="0"/>
          <w:numId w:val="6"/>
        </w:numPr>
        <w:bidi w:val="0"/>
        <w:ind w:left="575" w:leftChars="0" w:hanging="575"/>
        <w:jc w:val="left"/>
        <w:rPr>
          <w:rFonts w:hint="eastAsia"/>
          <w:lang w:val="en-US" w:eastAsia="zh-CN"/>
        </w:rPr>
      </w:pPr>
      <w:bookmarkStart w:id="125" w:name="_Toc152045561"/>
      <w:bookmarkStart w:id="126" w:name="_Toc238797583"/>
      <w:bookmarkStart w:id="127" w:name="_Toc152042337"/>
      <w:bookmarkStart w:id="128" w:name="_Toc532"/>
      <w:bookmarkStart w:id="129" w:name="_Toc23843"/>
      <w:bookmarkStart w:id="130" w:name="_Toc255764358"/>
      <w:bookmarkStart w:id="131" w:name="_Toc144974529"/>
      <w:bookmarkStart w:id="132" w:name="_Toc238552228"/>
      <w:bookmarkStart w:id="133" w:name="_Toc17959"/>
      <w:bookmarkStart w:id="134" w:name="_Toc4901"/>
      <w:bookmarkStart w:id="135" w:name="_Toc19532"/>
      <w:bookmarkStart w:id="136" w:name="_Toc30952"/>
      <w:bookmarkStart w:id="137" w:name="_Toc26343"/>
      <w:bookmarkStart w:id="138" w:name="_Toc16188"/>
      <w:bookmarkStart w:id="139" w:name="_Toc31739"/>
      <w:bookmarkStart w:id="140" w:name="_Toc4298"/>
      <w:bookmarkStart w:id="141" w:name="_Toc27332"/>
      <w:bookmarkStart w:id="142" w:name="_Toc9993"/>
      <w:bookmarkStart w:id="143" w:name="_Toc11130"/>
      <w:bookmarkStart w:id="144" w:name="_Toc3127"/>
      <w:bookmarkStart w:id="145" w:name="_Toc25421"/>
      <w:bookmarkStart w:id="146" w:name="_Toc9828"/>
      <w:bookmarkStart w:id="147" w:name="_Toc10729"/>
      <w:bookmarkStart w:id="148" w:name="_Toc31668"/>
      <w:bookmarkStart w:id="149" w:name="_Toc17439"/>
      <w:bookmarkStart w:id="150" w:name="_Toc32121"/>
      <w:bookmarkStart w:id="151" w:name="_Toc13350"/>
      <w:bookmarkStart w:id="152" w:name="_Toc9450"/>
      <w:bookmarkStart w:id="153" w:name="_Toc24887"/>
      <w:bookmarkStart w:id="154" w:name="_Toc13098"/>
      <w:bookmarkStart w:id="155" w:name="_Toc2983"/>
      <w:bookmarkStart w:id="156" w:name="_Toc8511"/>
      <w:bookmarkStart w:id="157" w:name="_Toc8562"/>
      <w:bookmarkStart w:id="158" w:name="_Toc255764447"/>
      <w:bookmarkStart w:id="159" w:name="_Toc238552297"/>
      <w:bookmarkStart w:id="160" w:name="_Toc152042575"/>
      <w:bookmarkStart w:id="161" w:name="_Toc21091"/>
      <w:bookmarkStart w:id="162" w:name="_Toc238797659"/>
      <w:bookmarkStart w:id="163" w:name="_Toc152045786"/>
      <w:bookmarkStart w:id="164" w:name="_Toc144974855"/>
      <w:r>
        <w:rPr>
          <w:rFonts w:hint="eastAsia"/>
          <w:lang w:val="en-US" w:eastAsia="zh-CN"/>
        </w:rPr>
        <w:t>开标程序</w:t>
      </w:r>
      <w:bookmarkEnd w:id="125"/>
      <w:bookmarkEnd w:id="126"/>
      <w:bookmarkEnd w:id="127"/>
      <w:bookmarkEnd w:id="128"/>
      <w:bookmarkEnd w:id="129"/>
      <w:bookmarkEnd w:id="130"/>
      <w:bookmarkEnd w:id="131"/>
      <w:bookmarkEnd w:id="132"/>
      <w:bookmarkEnd w:id="133"/>
    </w:p>
    <w:p>
      <w:pPr>
        <w:rPr>
          <w:rFonts w:ascii="宋体"/>
          <w:color w:val="auto"/>
        </w:rPr>
      </w:pPr>
      <w:r>
        <w:rPr>
          <w:rFonts w:hint="eastAsia" w:ascii="宋体" w:hAnsi="宋体"/>
          <w:color w:val="auto"/>
          <w:lang w:val="en-US" w:eastAsia="zh-CN"/>
        </w:rPr>
        <w:t>2.1、</w:t>
      </w:r>
      <w:r>
        <w:rPr>
          <w:rFonts w:hint="eastAsia" w:ascii="宋体" w:hAnsi="宋体"/>
          <w:color w:val="auto"/>
        </w:rPr>
        <w:t>主持人按下列程序进行开标：</w:t>
      </w:r>
    </w:p>
    <w:p>
      <w:pPr>
        <w:ind w:firstLine="359" w:firstLineChars="171"/>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）宣布开标纪律；</w:t>
      </w:r>
    </w:p>
    <w:p>
      <w:pPr>
        <w:ind w:firstLine="359" w:firstLineChars="171"/>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）宣布开标人、唱标人、记录人、监标人等有关信息；</w:t>
      </w:r>
    </w:p>
    <w:p>
      <w:pPr>
        <w:ind w:firstLine="359" w:firstLineChars="171"/>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）按照投标人须知前附表规定检查投标</w:t>
      </w:r>
      <w:r>
        <w:rPr>
          <w:rFonts w:hint="eastAsia" w:ascii="宋体" w:hAnsi="宋体"/>
          <w:color w:val="auto"/>
          <w:lang w:val="en-US" w:eastAsia="zh-CN"/>
        </w:rPr>
        <w:t>资格审查</w:t>
      </w:r>
      <w:r>
        <w:rPr>
          <w:rFonts w:hint="eastAsia" w:ascii="宋体" w:hAnsi="宋体"/>
          <w:color w:val="auto"/>
        </w:rPr>
        <w:t>文件情况；</w:t>
      </w:r>
    </w:p>
    <w:p>
      <w:pPr>
        <w:ind w:firstLine="359" w:firstLineChars="171"/>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）按照投标人须知前附表的规定确定并宣布</w:t>
      </w:r>
      <w:r>
        <w:rPr>
          <w:rFonts w:hint="eastAsia" w:ascii="宋体" w:hAnsi="宋体"/>
          <w:color w:val="auto"/>
          <w:lang w:val="en-US" w:eastAsia="zh-CN"/>
        </w:rPr>
        <w:t>竞争性谈判</w:t>
      </w:r>
      <w:r>
        <w:rPr>
          <w:rFonts w:hint="eastAsia" w:ascii="宋体" w:hAnsi="宋体"/>
          <w:color w:val="auto"/>
        </w:rPr>
        <w:t>开标顺序</w:t>
      </w:r>
      <w:r>
        <w:rPr>
          <w:rFonts w:hint="eastAsia" w:ascii="宋体" w:hAnsi="宋体"/>
          <w:color w:val="auto"/>
          <w:lang w:eastAsia="zh-CN"/>
        </w:rPr>
        <w:t>，</w:t>
      </w:r>
      <w:r>
        <w:rPr>
          <w:rFonts w:hint="eastAsia" w:ascii="宋体" w:hAnsi="宋体"/>
          <w:color w:val="auto"/>
        </w:rPr>
        <w:t>公布投标人名称、投标报价及其他内容，并记录在案</w:t>
      </w:r>
      <w:r>
        <w:rPr>
          <w:rFonts w:hint="eastAsia" w:ascii="宋体" w:hAnsi="宋体"/>
          <w:color w:val="auto"/>
          <w:lang w:eastAsia="zh-CN"/>
        </w:rPr>
        <w:t>，</w:t>
      </w:r>
      <w:r>
        <w:rPr>
          <w:rFonts w:hint="eastAsia" w:ascii="宋体" w:hAnsi="宋体"/>
          <w:color w:val="auto"/>
        </w:rPr>
        <w:t>当众</w:t>
      </w:r>
      <w:r>
        <w:rPr>
          <w:rFonts w:hint="eastAsia" w:ascii="宋体" w:hAnsi="宋体"/>
          <w:color w:val="auto"/>
          <w:lang w:val="en-US" w:eastAsia="zh-CN"/>
        </w:rPr>
        <w:t>唱标各投标人第一轮报价，选出综合报价最低前6名候选人</w:t>
      </w:r>
      <w:r>
        <w:rPr>
          <w:rFonts w:hint="eastAsia" w:ascii="宋体" w:hAnsi="宋体"/>
          <w:color w:val="auto"/>
        </w:rPr>
        <w:t>；</w:t>
      </w:r>
    </w:p>
    <w:p>
      <w:pPr>
        <w:ind w:firstLine="359" w:firstLineChars="171"/>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）按照</w:t>
      </w:r>
      <w:r>
        <w:rPr>
          <w:rFonts w:hint="eastAsia" w:ascii="宋体" w:hAnsi="宋体"/>
          <w:color w:val="auto"/>
          <w:lang w:val="en-US" w:eastAsia="zh-CN"/>
        </w:rPr>
        <w:t>第一轮报价候选人，进行第二轮谈判，各投标人做出终审定案报价</w:t>
      </w:r>
      <w:r>
        <w:rPr>
          <w:rFonts w:hint="eastAsia" w:ascii="宋体" w:hAnsi="宋体"/>
          <w:color w:val="auto"/>
        </w:rPr>
        <w:t>，公布投标人名称、投标报价及其他内容，并记录在案</w:t>
      </w:r>
      <w:r>
        <w:rPr>
          <w:rFonts w:hint="eastAsia" w:ascii="宋体" w:hAnsi="宋体"/>
          <w:color w:val="auto"/>
          <w:lang w:eastAsia="zh-CN"/>
        </w:rPr>
        <w:t>，</w:t>
      </w:r>
      <w:r>
        <w:rPr>
          <w:rFonts w:hint="eastAsia" w:ascii="宋体" w:hAnsi="宋体"/>
          <w:color w:val="auto"/>
          <w:lang w:val="en-US" w:eastAsia="zh-CN"/>
        </w:rPr>
        <w:t>选出综合报价最低的</w:t>
      </w:r>
      <w:r>
        <w:rPr>
          <w:rFonts w:hint="eastAsia" w:ascii="宋体" w:hAnsi="宋体"/>
          <w:bCs/>
          <w:color w:val="auto"/>
        </w:rPr>
        <w:t>前</w:t>
      </w:r>
      <w:r>
        <w:rPr>
          <w:rFonts w:hint="eastAsia" w:ascii="宋体" w:hAnsi="宋体"/>
          <w:bCs/>
          <w:color w:val="auto"/>
          <w:lang w:val="en-US" w:eastAsia="zh-CN"/>
        </w:rPr>
        <w:t>4</w:t>
      </w:r>
      <w:r>
        <w:rPr>
          <w:rFonts w:hint="eastAsia" w:ascii="宋体" w:hAnsi="宋体"/>
          <w:bCs/>
          <w:color w:val="auto"/>
        </w:rPr>
        <w:t>名为中标候选人</w:t>
      </w:r>
      <w:r>
        <w:rPr>
          <w:rFonts w:hint="eastAsia" w:ascii="宋体" w:hAnsi="宋体"/>
          <w:bCs/>
          <w:color w:val="auto"/>
          <w:lang w:val="en-US" w:eastAsia="zh-CN"/>
        </w:rPr>
        <w:t>为中标人</w:t>
      </w:r>
      <w:r>
        <w:rPr>
          <w:rFonts w:hint="eastAsia" w:ascii="宋体" w:hAnsi="宋体"/>
          <w:color w:val="auto"/>
        </w:rPr>
        <w:t>；</w:t>
      </w:r>
    </w:p>
    <w:p>
      <w:pPr>
        <w:ind w:firstLine="359" w:firstLineChars="171"/>
        <w:rPr>
          <w:rFonts w:ascii="宋体"/>
          <w:color w:val="auto"/>
        </w:rPr>
      </w:pPr>
      <w:bookmarkStart w:id="165" w:name="_Toc238552230"/>
      <w:bookmarkStart w:id="166" w:name="_Toc3354"/>
      <w:bookmarkStart w:id="167" w:name="_Toc152045563"/>
      <w:bookmarkStart w:id="168" w:name="_Toc255764360"/>
      <w:bookmarkStart w:id="169" w:name="_Toc144974531"/>
      <w:bookmarkStart w:id="170" w:name="_Toc3543"/>
      <w:bookmarkStart w:id="171" w:name="_Toc238797585"/>
      <w:bookmarkStart w:id="172" w:name="_Toc152042339"/>
      <w:r>
        <w:rPr>
          <w:rFonts w:hint="eastAsia" w:ascii="宋体" w:hAnsi="宋体"/>
          <w:bCs/>
          <w:color w:val="auto"/>
          <w:lang w:val="en-US" w:eastAsia="zh-CN"/>
        </w:rPr>
        <w:t>（6）招标人宣布中标人员名单，发放中标通知书、中标结果通知书，宣布谈判结束</w:t>
      </w:r>
      <w:r>
        <w:rPr>
          <w:rFonts w:hint="eastAsia" w:ascii="宋体" w:hAnsi="宋体"/>
          <w:color w:val="auto"/>
        </w:rPr>
        <w:t>；</w:t>
      </w:r>
    </w:p>
    <w:p>
      <w:pPr>
        <w:ind w:firstLine="359" w:firstLineChars="171"/>
        <w:rPr>
          <w:rFonts w:ascii="宋体"/>
          <w:color w:val="auto"/>
        </w:rPr>
      </w:pPr>
      <w:r>
        <w:rPr>
          <w:rFonts w:hint="eastAsia" w:ascii="宋体" w:hAnsi="宋体"/>
          <w:color w:val="auto"/>
        </w:rPr>
        <w:t>（</w:t>
      </w:r>
      <w:r>
        <w:rPr>
          <w:rFonts w:hint="eastAsia" w:ascii="宋体" w:hAnsi="宋体"/>
          <w:color w:val="auto"/>
          <w:lang w:val="en-US" w:eastAsia="zh-CN"/>
        </w:rPr>
        <w:t>7</w:t>
      </w:r>
      <w:r>
        <w:rPr>
          <w:rFonts w:hint="eastAsia" w:ascii="宋体" w:hAnsi="宋体"/>
          <w:color w:val="auto"/>
        </w:rPr>
        <w:t>）投标人代表、招标人代表、监标人、记录人等有关人员在开标记录上签字确认；</w:t>
      </w:r>
      <w:r>
        <w:rPr>
          <w:rFonts w:ascii="宋体" w:hAnsi="宋体"/>
          <w:color w:val="auto"/>
        </w:rPr>
        <w:t xml:space="preserve"> </w:t>
      </w:r>
    </w:p>
    <w:p>
      <w:pPr>
        <w:ind w:firstLine="359" w:firstLineChars="171"/>
        <w:rPr>
          <w:rFonts w:ascii="宋体"/>
          <w:color w:val="auto"/>
        </w:rPr>
      </w:pPr>
      <w:r>
        <w:rPr>
          <w:rFonts w:hint="eastAsia" w:ascii="宋体" w:hAnsi="宋体"/>
          <w:color w:val="auto"/>
        </w:rPr>
        <w:t>（</w:t>
      </w:r>
      <w:r>
        <w:rPr>
          <w:rFonts w:hint="eastAsia" w:ascii="宋体" w:hAnsi="宋体"/>
          <w:color w:val="auto"/>
          <w:lang w:val="en-US" w:eastAsia="zh-CN"/>
        </w:rPr>
        <w:t>8</w:t>
      </w:r>
      <w:r>
        <w:rPr>
          <w:rFonts w:hint="eastAsia" w:ascii="宋体" w:hAnsi="宋体"/>
          <w:color w:val="auto"/>
        </w:rPr>
        <w:t>）开标结束。</w:t>
      </w:r>
    </w:p>
    <w:p>
      <w:pPr>
        <w:pStyle w:val="4"/>
        <w:numPr>
          <w:ilvl w:val="0"/>
          <w:numId w:val="6"/>
        </w:numPr>
        <w:bidi w:val="0"/>
        <w:ind w:left="575" w:leftChars="0" w:hanging="575"/>
        <w:jc w:val="left"/>
        <w:rPr>
          <w:rFonts w:hint="eastAsia"/>
          <w:lang w:val="en-US" w:eastAsia="zh-CN"/>
        </w:rPr>
      </w:pPr>
      <w:bookmarkStart w:id="173" w:name="_Toc7442"/>
      <w:r>
        <w:rPr>
          <w:rFonts w:hint="eastAsia"/>
          <w:lang w:val="en-US" w:eastAsia="zh-CN"/>
        </w:rPr>
        <w:t>评标委员会</w:t>
      </w:r>
      <w:bookmarkEnd w:id="165"/>
      <w:bookmarkEnd w:id="166"/>
      <w:bookmarkEnd w:id="167"/>
      <w:bookmarkEnd w:id="168"/>
      <w:bookmarkEnd w:id="169"/>
      <w:bookmarkEnd w:id="170"/>
      <w:bookmarkEnd w:id="171"/>
      <w:bookmarkEnd w:id="172"/>
      <w:bookmarkEnd w:id="173"/>
    </w:p>
    <w:p>
      <w:pPr>
        <w:ind w:firstLine="420" w:firstLineChars="200"/>
      </w:pPr>
      <w:bookmarkStart w:id="174" w:name="_Toc255764361"/>
      <w:bookmarkStart w:id="175" w:name="_Toc252705886"/>
      <w:r>
        <w:rPr>
          <w:rFonts w:hint="eastAsia"/>
        </w:rPr>
        <w:t>评标由招标人组建的评标委员会负责。评标委员会由招标人</w:t>
      </w:r>
      <w:r>
        <w:rPr>
          <w:rFonts w:hint="eastAsia"/>
          <w:lang w:eastAsia="zh-CN"/>
        </w:rPr>
        <w:t>、</w:t>
      </w:r>
      <w:r>
        <w:rPr>
          <w:rFonts w:hint="eastAsia"/>
          <w:lang w:val="en-US" w:eastAsia="zh-CN"/>
        </w:rPr>
        <w:t>监标人（项目代表、项目总包单位代表组成）</w:t>
      </w:r>
      <w:r>
        <w:rPr>
          <w:rFonts w:hint="eastAsia"/>
        </w:rPr>
        <w:t>评审专家组成。</w:t>
      </w:r>
      <w:bookmarkEnd w:id="174"/>
      <w:bookmarkEnd w:id="175"/>
      <w:r>
        <w:rPr>
          <w:rFonts w:hint="eastAsia"/>
          <w:color w:val="auto"/>
          <w:lang w:val="en-US" w:eastAsia="zh-CN"/>
        </w:rPr>
        <w:t>评标委员会成员人数为3人以上的单数。</w:t>
      </w:r>
    </w:p>
    <w:p>
      <w:pPr>
        <w:pStyle w:val="4"/>
        <w:numPr>
          <w:ilvl w:val="0"/>
          <w:numId w:val="6"/>
        </w:numPr>
        <w:bidi w:val="0"/>
        <w:ind w:left="575" w:leftChars="0" w:hanging="575"/>
        <w:jc w:val="left"/>
        <w:rPr>
          <w:rFonts w:hint="eastAsia"/>
          <w:lang w:val="en-US" w:eastAsia="zh-CN"/>
        </w:rPr>
      </w:pPr>
      <w:bookmarkStart w:id="176" w:name="_Toc152042340"/>
      <w:bookmarkStart w:id="177" w:name="_Toc13397"/>
      <w:bookmarkStart w:id="178" w:name="_Toc238797586"/>
      <w:bookmarkStart w:id="179" w:name="_Toc255764362"/>
      <w:bookmarkStart w:id="180" w:name="_Toc238552231"/>
      <w:bookmarkStart w:id="181" w:name="_Toc152045564"/>
      <w:bookmarkStart w:id="182" w:name="_Toc3203"/>
      <w:bookmarkStart w:id="183" w:name="_Toc144974532"/>
      <w:bookmarkStart w:id="184" w:name="_Toc3635"/>
      <w:r>
        <w:rPr>
          <w:rFonts w:hint="eastAsia"/>
          <w:lang w:val="en-US" w:eastAsia="zh-CN"/>
        </w:rPr>
        <w:t>评标原则</w:t>
      </w:r>
      <w:bookmarkEnd w:id="176"/>
      <w:bookmarkEnd w:id="177"/>
      <w:bookmarkEnd w:id="178"/>
      <w:bookmarkEnd w:id="179"/>
      <w:bookmarkEnd w:id="180"/>
      <w:bookmarkEnd w:id="181"/>
      <w:bookmarkEnd w:id="182"/>
      <w:bookmarkEnd w:id="183"/>
      <w:bookmarkEnd w:id="184"/>
    </w:p>
    <w:p>
      <w:pPr>
        <w:ind w:firstLine="424" w:firstLineChars="202"/>
        <w:rPr>
          <w:rFonts w:ascii="宋体"/>
        </w:rPr>
      </w:pPr>
      <w:r>
        <w:rPr>
          <w:rFonts w:hint="eastAsia" w:ascii="宋体" w:hAnsi="宋体"/>
        </w:rPr>
        <w:t>评标活动遵循公平、公正、科学和择优的原则。</w:t>
      </w:r>
    </w:p>
    <w:p>
      <w:pPr>
        <w:pStyle w:val="4"/>
        <w:numPr>
          <w:ilvl w:val="0"/>
          <w:numId w:val="6"/>
        </w:numPr>
        <w:bidi w:val="0"/>
        <w:ind w:left="575" w:leftChars="0" w:hanging="575"/>
        <w:jc w:val="left"/>
        <w:rPr>
          <w:rFonts w:hint="eastAsia"/>
          <w:lang w:val="en-US" w:eastAsia="zh-CN"/>
        </w:rPr>
      </w:pPr>
      <w:bookmarkStart w:id="185" w:name="_Toc1787"/>
      <w:bookmarkStart w:id="186" w:name="_Toc12181"/>
      <w:r>
        <w:rPr>
          <w:rFonts w:hint="eastAsia"/>
          <w:lang w:val="en-US" w:eastAsia="zh-CN"/>
        </w:rPr>
        <w:t>投标文件的澄清</w:t>
      </w:r>
      <w:bookmarkEnd w:id="185"/>
      <w:bookmarkEnd w:id="186"/>
    </w:p>
    <w:p>
      <w:pPr>
        <w:ind w:firstLine="424" w:firstLineChars="202"/>
        <w:rPr>
          <w:rFonts w:ascii="宋体"/>
        </w:rPr>
      </w:pPr>
      <w:r>
        <w:rPr>
          <w:rFonts w:hint="eastAsia" w:ascii="宋体" w:hAnsi="宋体"/>
        </w:rPr>
        <w:t>为有助于对投标文件进行审查、评估和比较，评委会可以请投标人澄清其投标内容。提出澄清的要求和答复均应是书面的，但不得提出改动价格或对投标内容进行实质性修改。投标人拒不按照要求对投标文件进行澄清、说明或者补正的，评标委员会可以否决其投标。</w:t>
      </w:r>
    </w:p>
    <w:p>
      <w:pPr>
        <w:pStyle w:val="4"/>
        <w:numPr>
          <w:ilvl w:val="0"/>
          <w:numId w:val="6"/>
        </w:numPr>
        <w:bidi w:val="0"/>
        <w:ind w:left="575" w:leftChars="0" w:hanging="575"/>
        <w:jc w:val="left"/>
        <w:rPr>
          <w:rFonts w:hint="eastAsia"/>
          <w:lang w:val="en-US" w:eastAsia="zh-CN"/>
        </w:rPr>
      </w:pPr>
      <w:bookmarkStart w:id="187" w:name="_Toc10697"/>
      <w:bookmarkStart w:id="188" w:name="_Toc11486"/>
      <w:r>
        <w:rPr>
          <w:rFonts w:hint="eastAsia"/>
          <w:lang w:val="en-US" w:eastAsia="zh-CN"/>
        </w:rPr>
        <w:t>评标过程的保密</w:t>
      </w:r>
      <w:bookmarkEnd w:id="187"/>
      <w:bookmarkEnd w:id="188"/>
    </w:p>
    <w:p>
      <w:pPr>
        <w:ind w:firstLine="424" w:firstLineChars="202"/>
        <w:rPr>
          <w:rFonts w:ascii="宋体"/>
        </w:rPr>
      </w:pPr>
      <w:r>
        <w:rPr>
          <w:rFonts w:ascii="宋体" w:hAnsi="宋体"/>
        </w:rPr>
        <w:t>6.1</w:t>
      </w:r>
      <w:r>
        <w:rPr>
          <w:rFonts w:hint="eastAsia" w:ascii="宋体" w:hAnsi="宋体"/>
          <w:lang w:eastAsia="zh-CN"/>
        </w:rPr>
        <w:t>、</w:t>
      </w:r>
      <w:r>
        <w:rPr>
          <w:rFonts w:hint="eastAsia" w:ascii="宋体" w:hAnsi="宋体"/>
        </w:rPr>
        <w:t>开标后，直至授予中标人合同为止，凡属于对投标文件的审查、澄清、评价和比较有关的资料、中标候选人的推荐情况以及与评标有关的其他任何情况评标委员会成员和与评标活动有关的工作人员不得对任何单位和个人透露。</w:t>
      </w:r>
    </w:p>
    <w:p>
      <w:pPr>
        <w:ind w:firstLine="424" w:firstLineChars="202"/>
        <w:rPr>
          <w:rFonts w:ascii="宋体"/>
        </w:rPr>
      </w:pPr>
      <w:r>
        <w:rPr>
          <w:rFonts w:ascii="宋体" w:hAnsi="宋体"/>
        </w:rPr>
        <w:t>6.2</w:t>
      </w:r>
      <w:r>
        <w:rPr>
          <w:rFonts w:hint="eastAsia" w:ascii="宋体" w:hAnsi="宋体"/>
          <w:lang w:eastAsia="zh-CN"/>
        </w:rPr>
        <w:t>、</w:t>
      </w:r>
      <w:r>
        <w:rPr>
          <w:rFonts w:hint="eastAsia" w:ascii="宋体" w:hAnsi="宋体"/>
        </w:rPr>
        <w:t>在投标文件的评审和比较、中标候选人推荐以及授予合同的过程中，投标人向招标人和评标委员会施加影响的任何行为，都将会导致其投标被拒绝。</w:t>
      </w:r>
    </w:p>
    <w:p>
      <w:pPr>
        <w:ind w:firstLine="424" w:firstLineChars="202"/>
        <w:rPr>
          <w:rFonts w:ascii="宋体"/>
        </w:rPr>
      </w:pPr>
      <w:r>
        <w:rPr>
          <w:rFonts w:ascii="宋体" w:hAnsi="宋体"/>
        </w:rPr>
        <w:t>6.3</w:t>
      </w:r>
      <w:r>
        <w:rPr>
          <w:rFonts w:hint="eastAsia" w:ascii="宋体" w:hAnsi="宋体"/>
          <w:lang w:eastAsia="zh-CN"/>
        </w:rPr>
        <w:t>、</w:t>
      </w:r>
      <w:r>
        <w:rPr>
          <w:rFonts w:hint="eastAsia" w:ascii="宋体" w:hAnsi="宋体"/>
        </w:rPr>
        <w:t>中标人确定后，招标人不对未中标人就评标过程以及未能中标原因做出任何解释。未中标人不得向评标委员会组成人员或其他有关人员索问评标过程的情况和材料。</w:t>
      </w:r>
    </w:p>
    <w:p>
      <w:pPr>
        <w:pStyle w:val="4"/>
        <w:numPr>
          <w:ilvl w:val="0"/>
          <w:numId w:val="6"/>
        </w:numPr>
        <w:bidi w:val="0"/>
        <w:ind w:left="575" w:leftChars="0" w:hanging="575"/>
        <w:jc w:val="left"/>
        <w:rPr>
          <w:rFonts w:hint="eastAsia"/>
          <w:lang w:val="en-US" w:eastAsia="zh-CN"/>
        </w:rPr>
      </w:pPr>
      <w:bookmarkStart w:id="189" w:name="_Toc24046"/>
      <w:bookmarkStart w:id="190" w:name="_Toc13439"/>
      <w:bookmarkStart w:id="191" w:name="_Toc255764364"/>
      <w:bookmarkStart w:id="192" w:name="_Toc20772"/>
      <w:bookmarkStart w:id="193" w:name="_Toc30453"/>
      <w:bookmarkStart w:id="194" w:name="_Toc18579"/>
      <w:bookmarkStart w:id="195" w:name="_Toc13220"/>
      <w:bookmarkStart w:id="196" w:name="_Toc11476"/>
      <w:bookmarkStart w:id="197" w:name="_Toc4036"/>
      <w:bookmarkStart w:id="198" w:name="_Toc22134"/>
      <w:bookmarkStart w:id="199" w:name="_Toc22484"/>
      <w:bookmarkStart w:id="200" w:name="_Toc20241"/>
      <w:bookmarkStart w:id="201" w:name="_Toc6802"/>
      <w:bookmarkStart w:id="202" w:name="_Toc152042342"/>
      <w:bookmarkStart w:id="203" w:name="_Toc6359"/>
      <w:bookmarkStart w:id="204" w:name="_Toc20007"/>
      <w:bookmarkStart w:id="205" w:name="_Toc10615"/>
      <w:bookmarkStart w:id="206" w:name="_Toc152045566"/>
      <w:bookmarkStart w:id="207" w:name="_Toc238552233"/>
      <w:bookmarkStart w:id="208" w:name="_Toc31058"/>
      <w:bookmarkStart w:id="209" w:name="_Toc144974534"/>
      <w:bookmarkStart w:id="210" w:name="_Toc408"/>
      <w:bookmarkStart w:id="211" w:name="_Toc18482"/>
      <w:bookmarkStart w:id="212" w:name="_Toc6033"/>
      <w:bookmarkStart w:id="213" w:name="_Toc10768"/>
      <w:bookmarkStart w:id="214" w:name="_Toc30707"/>
      <w:bookmarkStart w:id="215" w:name="_Toc2227"/>
      <w:bookmarkStart w:id="216" w:name="_Toc19762"/>
      <w:bookmarkStart w:id="217" w:name="_Toc9198"/>
      <w:bookmarkStart w:id="218" w:name="_Toc17495"/>
      <w:bookmarkStart w:id="219" w:name="_Toc238797588"/>
      <w:bookmarkStart w:id="220" w:name="_Toc28946"/>
      <w:bookmarkStart w:id="221" w:name="_Toc31706"/>
      <w:r>
        <w:rPr>
          <w:rFonts w:hint="eastAsia"/>
          <w:lang w:val="en-US" w:eastAsia="zh-CN"/>
        </w:rPr>
        <w:t>合同授予</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ind w:firstLine="424" w:firstLineChars="202"/>
        <w:rPr>
          <w:rFonts w:ascii="宋体"/>
        </w:rPr>
      </w:pPr>
      <w:r>
        <w:rPr>
          <w:rFonts w:hint="eastAsia" w:ascii="宋体" w:hAnsi="宋体"/>
          <w:lang w:val="en-US" w:eastAsia="zh-CN"/>
        </w:rPr>
        <w:t>7.</w:t>
      </w:r>
      <w:r>
        <w:rPr>
          <w:rFonts w:ascii="宋体" w:hAnsi="宋体"/>
        </w:rPr>
        <w:t>1</w:t>
      </w:r>
      <w:r>
        <w:rPr>
          <w:rFonts w:hint="eastAsia" w:ascii="宋体" w:hAnsi="宋体"/>
          <w:lang w:eastAsia="zh-CN"/>
        </w:rPr>
        <w:t>、</w:t>
      </w:r>
      <w:r>
        <w:rPr>
          <w:rFonts w:hint="eastAsia" w:ascii="宋体" w:hAnsi="宋体"/>
        </w:rPr>
        <w:t>定标后，招标人及时向中标人发出中标通知书，并将中标结果通知所有未中标的投标人。</w:t>
      </w:r>
    </w:p>
    <w:p>
      <w:pPr>
        <w:ind w:firstLine="424" w:firstLineChars="202"/>
        <w:rPr>
          <w:rFonts w:ascii="宋体"/>
        </w:rPr>
      </w:pPr>
      <w:r>
        <w:rPr>
          <w:rFonts w:hint="eastAsia" w:ascii="宋体" w:hAnsi="宋体"/>
          <w:lang w:val="en-US" w:eastAsia="zh-CN"/>
        </w:rPr>
        <w:t>7.2、</w:t>
      </w:r>
      <w:r>
        <w:t xml:space="preserve"> </w:t>
      </w:r>
      <w:r>
        <w:rPr>
          <w:rFonts w:hint="eastAsia" w:ascii="宋体" w:hAnsi="宋体"/>
        </w:rPr>
        <w:t>中标通知书发出后，招标人和中标人应在中标通知书发出后及时根据</w:t>
      </w:r>
      <w:r>
        <w:rPr>
          <w:rFonts w:hint="eastAsia" w:ascii="宋体" w:hAnsi="宋体" w:eastAsia="宋体" w:cs="Times New Roman"/>
        </w:rPr>
        <w:t>《中华人民共和国</w:t>
      </w:r>
      <w:r>
        <w:rPr>
          <w:rFonts w:hint="eastAsia" w:ascii="宋体" w:hAnsi="宋体" w:eastAsia="宋体" w:cs="Times New Roman"/>
          <w:lang w:val="en-US" w:eastAsia="zh-CN"/>
        </w:rPr>
        <w:t>民法典</w:t>
      </w:r>
      <w:r>
        <w:rPr>
          <w:rFonts w:hint="eastAsia" w:ascii="宋体" w:hAnsi="宋体" w:eastAsia="宋体" w:cs="Times New Roman"/>
        </w:rPr>
        <w:t>》</w:t>
      </w:r>
      <w:r>
        <w:rPr>
          <w:rFonts w:hint="eastAsia" w:ascii="宋体" w:hAnsi="宋体"/>
        </w:rPr>
        <w:t>等相关法律法规、招标文件、中标人的投标文件订立书面合同和相关协议。</w:t>
      </w:r>
    </w:p>
    <w:p>
      <w:pPr>
        <w:ind w:firstLine="424" w:firstLineChars="202"/>
        <w:rPr>
          <w:rFonts w:ascii="宋体"/>
        </w:rPr>
      </w:pPr>
      <w:r>
        <w:rPr>
          <w:rFonts w:hint="eastAsia" w:ascii="宋体" w:hAnsi="宋体"/>
          <w:lang w:val="en-US" w:eastAsia="zh-CN"/>
        </w:rPr>
        <w:t>7.3、</w:t>
      </w:r>
      <w:r>
        <w:rPr>
          <w:rFonts w:ascii="宋体" w:hAnsi="宋体"/>
        </w:rPr>
        <w:t xml:space="preserve"> </w:t>
      </w:r>
      <w:r>
        <w:rPr>
          <w:rFonts w:hint="eastAsia" w:ascii="宋体" w:hAnsi="宋体"/>
        </w:rPr>
        <w:t>合同由招标人</w:t>
      </w:r>
      <w:r>
        <w:rPr>
          <w:rFonts w:hint="eastAsia" w:ascii="宋体" w:hAnsi="宋体" w:eastAsia="宋体" w:cs="Times New Roman"/>
          <w:b/>
          <w:bCs/>
          <w:color w:val="auto"/>
          <w:lang w:val="en-US" w:eastAsia="zh-CN"/>
        </w:rPr>
        <w:t>贵州建工云富集采有限责任公司</w:t>
      </w:r>
      <w:r>
        <w:rPr>
          <w:rFonts w:hint="eastAsia" w:ascii="宋体" w:hAnsi="宋体"/>
        </w:rPr>
        <w:t>与投标人签订，合同及相关协议须加盖“</w:t>
      </w:r>
      <w:r>
        <w:rPr>
          <w:rFonts w:hint="eastAsia" w:ascii="宋体" w:hAnsi="宋体" w:eastAsia="宋体" w:cs="Times New Roman"/>
          <w:b/>
          <w:bCs/>
          <w:color w:val="auto"/>
          <w:lang w:val="en-US" w:eastAsia="zh-CN"/>
        </w:rPr>
        <w:t>贵州建工云富集采有限责任公司</w:t>
      </w:r>
      <w:r>
        <w:rPr>
          <w:rFonts w:hint="eastAsia" w:ascii="宋体" w:hAnsi="宋体"/>
        </w:rPr>
        <w:t>”公章后方能生效。未加盖“</w:t>
      </w:r>
      <w:r>
        <w:rPr>
          <w:rFonts w:hint="eastAsia" w:ascii="宋体" w:hAnsi="宋体" w:eastAsia="宋体" w:cs="Times New Roman"/>
          <w:b/>
          <w:bCs/>
          <w:color w:val="auto"/>
          <w:lang w:val="en-US" w:eastAsia="zh-CN"/>
        </w:rPr>
        <w:t>贵州建工云富集采有限责任公司</w:t>
      </w:r>
      <w:r>
        <w:rPr>
          <w:rFonts w:hint="eastAsia" w:ascii="宋体" w:hAnsi="宋体"/>
        </w:rPr>
        <w:t>”公章的合同及协议，招标方不予承认并不予付款。</w:t>
      </w:r>
    </w:p>
    <w:p>
      <w:pPr>
        <w:ind w:firstLine="424" w:firstLineChars="202"/>
        <w:rPr>
          <w:rFonts w:ascii="宋体"/>
        </w:rPr>
      </w:pPr>
    </w:p>
    <w:p>
      <w:bookmarkStart w:id="222" w:name="_Toc12132"/>
      <w:bookmarkStart w:id="223" w:name="_Toc6570"/>
      <w:bookmarkStart w:id="224" w:name="_Toc15536"/>
      <w:bookmarkStart w:id="225" w:name="_Toc179632627"/>
      <w:bookmarkStart w:id="226" w:name="_Toc21173"/>
      <w:bookmarkStart w:id="227" w:name="_Toc22567"/>
      <w:bookmarkStart w:id="228" w:name="_Toc3188"/>
      <w:bookmarkStart w:id="229" w:name="_Toc238552260"/>
      <w:bookmarkStart w:id="230" w:name="_Toc18500"/>
      <w:bookmarkStart w:id="231" w:name="_Toc13726"/>
      <w:bookmarkStart w:id="232" w:name="_Toc7962"/>
      <w:bookmarkStart w:id="233" w:name="_Toc26719"/>
      <w:bookmarkStart w:id="234" w:name="_Toc255764392"/>
      <w:bookmarkStart w:id="235" w:name="_Toc8172"/>
      <w:bookmarkStart w:id="236" w:name="_Toc1002"/>
      <w:bookmarkStart w:id="237" w:name="_Toc6743"/>
      <w:bookmarkStart w:id="238" w:name="_Toc8494"/>
      <w:bookmarkStart w:id="239" w:name="_Toc7122"/>
      <w:bookmarkStart w:id="240" w:name="_Toc14410"/>
      <w:bookmarkStart w:id="241" w:name="_Toc581"/>
      <w:bookmarkStart w:id="242" w:name="_Toc238797615"/>
    </w:p>
    <w:p/>
    <w:p/>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Pr>
        <w:adjustRightInd w:val="0"/>
        <w:snapToGrid w:val="0"/>
      </w:pPr>
    </w:p>
    <w:p>
      <w:pPr>
        <w:spacing w:line="400" w:lineRule="exact"/>
        <w:rPr>
          <w:rFonts w:ascii="宋体"/>
        </w:rPr>
      </w:pPr>
      <w:bookmarkStart w:id="243" w:name="_Toc22704"/>
      <w:bookmarkStart w:id="244" w:name="_Toc13586"/>
      <w:bookmarkStart w:id="245" w:name="_Toc9529"/>
      <w:bookmarkStart w:id="246" w:name="_Toc18045"/>
      <w:bookmarkStart w:id="247" w:name="_Toc22168"/>
      <w:bookmarkStart w:id="248" w:name="_Toc19958"/>
      <w:bookmarkStart w:id="249" w:name="_Toc16958"/>
      <w:bookmarkStart w:id="250" w:name="_Toc18894"/>
      <w:r>
        <w:br w:type="page"/>
      </w:r>
      <w:bookmarkEnd w:id="243"/>
      <w:bookmarkEnd w:id="244"/>
      <w:bookmarkEnd w:id="245"/>
      <w:bookmarkEnd w:id="246"/>
      <w:bookmarkEnd w:id="247"/>
      <w:bookmarkEnd w:id="248"/>
      <w:bookmarkEnd w:id="249"/>
      <w:bookmarkEnd w:id="250"/>
    </w:p>
    <w:p>
      <w:pPr>
        <w:pStyle w:val="4"/>
        <w:numPr>
          <w:ilvl w:val="0"/>
          <w:numId w:val="6"/>
        </w:numPr>
        <w:bidi w:val="0"/>
        <w:ind w:left="575" w:leftChars="0" w:hanging="575"/>
        <w:jc w:val="left"/>
        <w:rPr>
          <w:rFonts w:hint="eastAsia"/>
          <w:lang w:val="en-US" w:eastAsia="zh-CN"/>
        </w:rPr>
      </w:pPr>
      <w:bookmarkStart w:id="251" w:name="_Toc5934"/>
      <w:bookmarkStart w:id="252" w:name="_Toc18032"/>
      <w:bookmarkStart w:id="253" w:name="_Toc21355"/>
      <w:bookmarkStart w:id="254" w:name="_Toc22388"/>
      <w:bookmarkStart w:id="255" w:name="_Toc27814"/>
      <w:bookmarkStart w:id="256" w:name="_Toc4061"/>
      <w:bookmarkStart w:id="257" w:name="_Toc14651"/>
      <w:bookmarkStart w:id="258" w:name="_Toc32451"/>
      <w:bookmarkStart w:id="259" w:name="_Toc2260"/>
      <w:bookmarkStart w:id="260" w:name="_Toc5168"/>
      <w:bookmarkStart w:id="261" w:name="_Toc238797667"/>
      <w:bookmarkStart w:id="262" w:name="_Toc238552305"/>
      <w:bookmarkStart w:id="263" w:name="_Toc255764455"/>
      <w:r>
        <w:rPr>
          <w:rFonts w:hint="eastAsia"/>
          <w:lang w:val="en-US" w:eastAsia="zh-CN"/>
        </w:rPr>
        <w:t>投标人须提交的资质文件</w:t>
      </w:r>
      <w:bookmarkEnd w:id="251"/>
      <w:bookmarkEnd w:id="252"/>
      <w:bookmarkEnd w:id="253"/>
      <w:bookmarkEnd w:id="254"/>
      <w:bookmarkEnd w:id="255"/>
      <w:bookmarkEnd w:id="256"/>
      <w:bookmarkEnd w:id="257"/>
      <w:bookmarkEnd w:id="258"/>
      <w:bookmarkEnd w:id="259"/>
      <w:bookmarkEnd w:id="260"/>
    </w:p>
    <w:p>
      <w:pPr>
        <w:autoSpaceDE w:val="0"/>
        <w:autoSpaceDN w:val="0"/>
        <w:adjustRightInd w:val="0"/>
        <w:spacing w:line="304" w:lineRule="atLeast"/>
        <w:ind w:firstLine="400"/>
        <w:jc w:val="left"/>
        <w:rPr>
          <w:rFonts w:hint="default" w:ascii="宋体" w:hAnsi="宋体" w:eastAsia="宋体" w:cs="宋体"/>
          <w:bCs/>
          <w:color w:val="FF0000"/>
          <w:kern w:val="0"/>
          <w:sz w:val="24"/>
          <w:lang w:val="en-US" w:eastAsia="zh-CN"/>
        </w:rPr>
      </w:pPr>
      <w:r>
        <w:rPr>
          <w:rFonts w:ascii="宋体" w:hAnsi="宋体" w:cs="宋体"/>
          <w:bCs/>
          <w:color w:val="FF0000"/>
          <w:kern w:val="0"/>
          <w:sz w:val="24"/>
        </w:rPr>
        <w:t>1</w:t>
      </w:r>
      <w:r>
        <w:rPr>
          <w:rFonts w:hint="eastAsia" w:ascii="宋体" w:hAnsi="宋体" w:cs="宋体"/>
          <w:bCs/>
          <w:color w:val="FF0000"/>
          <w:kern w:val="0"/>
          <w:sz w:val="24"/>
        </w:rPr>
        <w:t>、</w:t>
      </w:r>
      <w:r>
        <w:rPr>
          <w:rFonts w:hint="eastAsia" w:ascii="宋体" w:hAnsi="宋体" w:cs="宋体"/>
          <w:bCs/>
          <w:color w:val="FF0000"/>
          <w:kern w:val="0"/>
          <w:sz w:val="24"/>
          <w:lang w:val="en-US" w:eastAsia="zh-CN"/>
        </w:rPr>
        <w:t>法定代表人身份证明  （原件加盖公章）</w:t>
      </w:r>
    </w:p>
    <w:p>
      <w:pPr>
        <w:autoSpaceDE w:val="0"/>
        <w:autoSpaceDN w:val="0"/>
        <w:adjustRightInd w:val="0"/>
        <w:spacing w:line="304" w:lineRule="atLeast"/>
        <w:ind w:firstLine="400"/>
        <w:jc w:val="left"/>
        <w:rPr>
          <w:rFonts w:hint="default"/>
          <w:color w:val="FF0000"/>
          <w:lang w:val="en-US" w:eastAsia="zh-CN"/>
        </w:rPr>
      </w:pPr>
      <w:r>
        <w:rPr>
          <w:rFonts w:hint="eastAsia" w:ascii="宋体" w:hAnsi="宋体" w:cs="宋体"/>
          <w:bCs/>
          <w:color w:val="FF0000"/>
          <w:kern w:val="0"/>
          <w:sz w:val="24"/>
          <w:lang w:val="en-US" w:eastAsia="zh-CN"/>
        </w:rPr>
        <w:t>2、授权委托书  （原件加盖公章）</w:t>
      </w:r>
    </w:p>
    <w:p>
      <w:pPr>
        <w:autoSpaceDE w:val="0"/>
        <w:autoSpaceDN w:val="0"/>
        <w:adjustRightInd w:val="0"/>
        <w:spacing w:line="304" w:lineRule="atLeast"/>
        <w:ind w:firstLine="400"/>
        <w:jc w:val="left"/>
        <w:rPr>
          <w:rFonts w:hint="eastAsia" w:ascii="宋体" w:hAnsi="宋体" w:cs="宋体"/>
          <w:bCs/>
          <w:color w:val="FF0000"/>
          <w:kern w:val="0"/>
          <w:sz w:val="24"/>
          <w:lang w:val="en-US" w:eastAsia="zh-CN"/>
        </w:rPr>
      </w:pPr>
      <w:r>
        <w:rPr>
          <w:rFonts w:hint="eastAsia" w:ascii="宋体" w:hAnsi="宋体" w:cs="宋体"/>
          <w:bCs/>
          <w:color w:val="FF0000"/>
          <w:kern w:val="0"/>
          <w:sz w:val="24"/>
          <w:lang w:val="en-US" w:eastAsia="zh-CN"/>
        </w:rPr>
        <w:t>3、承诺书  （原件加盖公章）</w:t>
      </w:r>
    </w:p>
    <w:p>
      <w:pPr>
        <w:autoSpaceDE w:val="0"/>
        <w:autoSpaceDN w:val="0"/>
        <w:adjustRightInd w:val="0"/>
        <w:spacing w:line="304" w:lineRule="atLeast"/>
        <w:ind w:firstLine="400"/>
        <w:jc w:val="left"/>
        <w:rPr>
          <w:rFonts w:ascii="宋体" w:cs="宋体"/>
          <w:bCs/>
          <w:color w:val="FF0000"/>
          <w:kern w:val="0"/>
          <w:sz w:val="24"/>
        </w:rPr>
      </w:pPr>
      <w:r>
        <w:rPr>
          <w:rFonts w:hint="eastAsia" w:ascii="宋体" w:hAnsi="宋体" w:cs="宋体"/>
          <w:bCs/>
          <w:color w:val="FF0000"/>
          <w:kern w:val="0"/>
          <w:sz w:val="24"/>
          <w:lang w:val="en-US" w:eastAsia="zh-CN"/>
        </w:rPr>
        <w:t>4、</w:t>
      </w:r>
      <w:r>
        <w:rPr>
          <w:rFonts w:hint="eastAsia" w:ascii="宋体" w:hAnsi="宋体" w:cs="宋体"/>
          <w:bCs/>
          <w:color w:val="FF0000"/>
          <w:kern w:val="0"/>
          <w:sz w:val="24"/>
        </w:rPr>
        <w:t>法人营业执照</w:t>
      </w:r>
      <w:r>
        <w:rPr>
          <w:rFonts w:hint="eastAsia" w:ascii="宋体" w:hAnsi="宋体" w:cs="宋体"/>
          <w:bCs/>
          <w:color w:val="FF0000"/>
          <w:kern w:val="0"/>
          <w:sz w:val="24"/>
          <w:lang w:val="en-US" w:eastAsia="zh-CN"/>
        </w:rPr>
        <w:t xml:space="preserve">  </w:t>
      </w:r>
      <w:r>
        <w:rPr>
          <w:rFonts w:hint="eastAsia" w:ascii="宋体" w:hAnsi="宋体" w:cs="宋体"/>
          <w:bCs/>
          <w:color w:val="FF0000"/>
          <w:kern w:val="0"/>
          <w:sz w:val="24"/>
        </w:rPr>
        <w:t>（复印件</w:t>
      </w:r>
      <w:r>
        <w:rPr>
          <w:rFonts w:hint="eastAsia" w:ascii="宋体" w:hAnsi="宋体" w:cs="宋体"/>
          <w:bCs/>
          <w:color w:val="FF0000"/>
          <w:kern w:val="0"/>
          <w:sz w:val="24"/>
          <w:lang w:val="en-US" w:eastAsia="zh-CN"/>
        </w:rPr>
        <w:t>加盖公章</w:t>
      </w:r>
      <w:r>
        <w:rPr>
          <w:rFonts w:hint="eastAsia" w:ascii="宋体" w:hAnsi="宋体" w:cs="宋体"/>
          <w:bCs/>
          <w:color w:val="FF0000"/>
          <w:kern w:val="0"/>
          <w:sz w:val="24"/>
        </w:rPr>
        <w:t>）</w:t>
      </w:r>
    </w:p>
    <w:p>
      <w:pPr>
        <w:autoSpaceDE w:val="0"/>
        <w:autoSpaceDN w:val="0"/>
        <w:adjustRightInd w:val="0"/>
        <w:spacing w:line="304" w:lineRule="atLeast"/>
        <w:ind w:firstLine="400"/>
        <w:jc w:val="left"/>
        <w:rPr>
          <w:rFonts w:ascii="宋体" w:cs="宋体"/>
          <w:bCs/>
          <w:color w:val="FF0000"/>
          <w:kern w:val="0"/>
          <w:sz w:val="24"/>
        </w:rPr>
      </w:pPr>
      <w:r>
        <w:rPr>
          <w:rFonts w:hint="eastAsia" w:ascii="宋体" w:hAnsi="宋体" w:cs="宋体"/>
          <w:bCs/>
          <w:color w:val="FF0000"/>
          <w:kern w:val="0"/>
          <w:sz w:val="24"/>
          <w:lang w:val="en-US" w:eastAsia="zh-CN"/>
        </w:rPr>
        <w:t>6</w:t>
      </w:r>
      <w:r>
        <w:rPr>
          <w:rFonts w:hint="eastAsia" w:ascii="宋体" w:hAnsi="宋体" w:cs="宋体"/>
          <w:bCs/>
          <w:color w:val="FF0000"/>
          <w:kern w:val="0"/>
          <w:sz w:val="24"/>
        </w:rPr>
        <w:t>、组织机构代码证</w:t>
      </w:r>
      <w:r>
        <w:rPr>
          <w:rFonts w:hint="eastAsia" w:ascii="宋体" w:hAnsi="宋体" w:cs="宋体"/>
          <w:bCs/>
          <w:color w:val="FF0000"/>
          <w:kern w:val="0"/>
          <w:sz w:val="24"/>
          <w:lang w:val="en-US" w:eastAsia="zh-CN"/>
        </w:rPr>
        <w:t xml:space="preserve">  </w:t>
      </w:r>
      <w:r>
        <w:rPr>
          <w:rFonts w:hint="eastAsia" w:ascii="宋体" w:hAnsi="宋体" w:cs="宋体"/>
          <w:bCs/>
          <w:color w:val="FF0000"/>
          <w:kern w:val="0"/>
          <w:sz w:val="24"/>
        </w:rPr>
        <w:t>（复印件</w:t>
      </w:r>
      <w:r>
        <w:rPr>
          <w:rFonts w:hint="eastAsia" w:ascii="宋体" w:hAnsi="宋体" w:cs="宋体"/>
          <w:bCs/>
          <w:color w:val="FF0000"/>
          <w:kern w:val="0"/>
          <w:sz w:val="24"/>
          <w:lang w:val="en-US" w:eastAsia="zh-CN"/>
        </w:rPr>
        <w:t>加盖公章</w:t>
      </w:r>
      <w:r>
        <w:rPr>
          <w:rFonts w:hint="eastAsia" w:ascii="宋体" w:hAnsi="宋体" w:cs="宋体"/>
          <w:bCs/>
          <w:color w:val="FF0000"/>
          <w:kern w:val="0"/>
          <w:sz w:val="24"/>
        </w:rPr>
        <w:t>）</w:t>
      </w:r>
    </w:p>
    <w:p>
      <w:pPr>
        <w:autoSpaceDE w:val="0"/>
        <w:autoSpaceDN w:val="0"/>
        <w:adjustRightInd w:val="0"/>
        <w:spacing w:line="304" w:lineRule="atLeast"/>
        <w:ind w:firstLine="400"/>
        <w:jc w:val="left"/>
        <w:rPr>
          <w:rFonts w:ascii="宋体" w:cs="宋体"/>
          <w:bCs/>
          <w:color w:val="FF0000"/>
          <w:kern w:val="0"/>
          <w:sz w:val="24"/>
        </w:rPr>
      </w:pPr>
      <w:r>
        <w:rPr>
          <w:rFonts w:hint="eastAsia" w:ascii="宋体" w:hAnsi="宋体" w:cs="宋体"/>
          <w:bCs/>
          <w:color w:val="FF0000"/>
          <w:kern w:val="0"/>
          <w:sz w:val="24"/>
          <w:lang w:val="en-US" w:eastAsia="zh-CN"/>
        </w:rPr>
        <w:t>7</w:t>
      </w:r>
      <w:r>
        <w:rPr>
          <w:rFonts w:hint="eastAsia" w:ascii="宋体" w:hAnsi="宋体" w:cs="宋体"/>
          <w:bCs/>
          <w:color w:val="FF0000"/>
          <w:kern w:val="0"/>
          <w:sz w:val="24"/>
        </w:rPr>
        <w:t>、税务登记证</w:t>
      </w:r>
      <w:r>
        <w:rPr>
          <w:rFonts w:hint="eastAsia" w:ascii="宋体" w:hAnsi="宋体" w:cs="宋体"/>
          <w:bCs/>
          <w:color w:val="FF0000"/>
          <w:kern w:val="0"/>
          <w:sz w:val="24"/>
          <w:lang w:val="en-US" w:eastAsia="zh-CN"/>
        </w:rPr>
        <w:t xml:space="preserve">  </w:t>
      </w:r>
      <w:r>
        <w:rPr>
          <w:rFonts w:hint="eastAsia" w:ascii="宋体" w:hAnsi="宋体" w:cs="宋体"/>
          <w:bCs/>
          <w:color w:val="FF0000"/>
          <w:kern w:val="0"/>
          <w:sz w:val="24"/>
        </w:rPr>
        <w:t>（复印件</w:t>
      </w:r>
      <w:r>
        <w:rPr>
          <w:rFonts w:hint="eastAsia" w:ascii="宋体" w:hAnsi="宋体" w:cs="宋体"/>
          <w:bCs/>
          <w:color w:val="FF0000"/>
          <w:kern w:val="0"/>
          <w:sz w:val="24"/>
          <w:lang w:val="en-US" w:eastAsia="zh-CN"/>
        </w:rPr>
        <w:t>加盖公章</w:t>
      </w:r>
      <w:r>
        <w:rPr>
          <w:rFonts w:hint="eastAsia" w:ascii="宋体" w:hAnsi="宋体" w:cs="宋体"/>
          <w:bCs/>
          <w:color w:val="FF0000"/>
          <w:kern w:val="0"/>
          <w:sz w:val="24"/>
        </w:rPr>
        <w:t>）</w:t>
      </w:r>
    </w:p>
    <w:p>
      <w:pPr>
        <w:autoSpaceDE w:val="0"/>
        <w:autoSpaceDN w:val="0"/>
        <w:adjustRightInd w:val="0"/>
        <w:spacing w:line="304" w:lineRule="atLeast"/>
        <w:ind w:firstLine="400"/>
        <w:jc w:val="left"/>
        <w:rPr>
          <w:rFonts w:ascii="宋体" w:cs="宋体"/>
          <w:bCs/>
          <w:color w:val="FF0000"/>
          <w:kern w:val="0"/>
          <w:sz w:val="24"/>
        </w:rPr>
      </w:pPr>
      <w:r>
        <w:rPr>
          <w:rFonts w:hint="eastAsia" w:ascii="宋体" w:hAnsi="宋体" w:cs="宋体"/>
          <w:bCs/>
          <w:color w:val="FF0000"/>
          <w:kern w:val="0"/>
          <w:sz w:val="24"/>
          <w:lang w:val="en-US" w:eastAsia="zh-CN"/>
        </w:rPr>
        <w:t>8</w:t>
      </w:r>
      <w:r>
        <w:rPr>
          <w:rFonts w:hint="eastAsia" w:ascii="宋体" w:hAnsi="宋体" w:cs="宋体"/>
          <w:bCs/>
          <w:color w:val="FF0000"/>
          <w:kern w:val="0"/>
          <w:sz w:val="24"/>
        </w:rPr>
        <w:t>、银行资信证明</w:t>
      </w:r>
      <w:r>
        <w:rPr>
          <w:rFonts w:hint="eastAsia" w:ascii="宋体" w:hAnsi="宋体" w:cs="宋体"/>
          <w:bCs/>
          <w:color w:val="FF0000"/>
          <w:kern w:val="0"/>
          <w:sz w:val="24"/>
          <w:lang w:val="en-US" w:eastAsia="zh-CN"/>
        </w:rPr>
        <w:t xml:space="preserve">  </w:t>
      </w:r>
      <w:r>
        <w:rPr>
          <w:rFonts w:hint="eastAsia" w:ascii="宋体" w:hAnsi="宋体" w:cs="宋体"/>
          <w:bCs/>
          <w:color w:val="FF0000"/>
          <w:kern w:val="0"/>
          <w:sz w:val="24"/>
        </w:rPr>
        <w:t>（复印件</w:t>
      </w:r>
      <w:r>
        <w:rPr>
          <w:rFonts w:hint="eastAsia" w:ascii="宋体" w:hAnsi="宋体" w:cs="宋体"/>
          <w:bCs/>
          <w:color w:val="FF0000"/>
          <w:kern w:val="0"/>
          <w:sz w:val="24"/>
          <w:lang w:val="en-US" w:eastAsia="zh-CN"/>
        </w:rPr>
        <w:t>加盖公章</w:t>
      </w:r>
      <w:r>
        <w:rPr>
          <w:rFonts w:hint="eastAsia" w:ascii="宋体" w:hAnsi="宋体" w:cs="宋体"/>
          <w:bCs/>
          <w:color w:val="FF0000"/>
          <w:kern w:val="0"/>
          <w:sz w:val="24"/>
        </w:rPr>
        <w:t>）</w:t>
      </w:r>
    </w:p>
    <w:p>
      <w:pPr>
        <w:autoSpaceDE w:val="0"/>
        <w:autoSpaceDN w:val="0"/>
        <w:adjustRightInd w:val="0"/>
        <w:spacing w:line="304" w:lineRule="atLeast"/>
        <w:ind w:firstLine="400"/>
        <w:jc w:val="left"/>
        <w:rPr>
          <w:rFonts w:hint="eastAsia" w:ascii="宋体" w:eastAsia="宋体" w:cs="宋体"/>
          <w:bCs/>
          <w:color w:val="FF0000"/>
          <w:kern w:val="0"/>
          <w:sz w:val="24"/>
          <w:lang w:eastAsia="zh-CN"/>
        </w:rPr>
      </w:pPr>
      <w:r>
        <w:rPr>
          <w:rFonts w:hint="eastAsia" w:ascii="宋体" w:hAnsi="宋体" w:cs="宋体"/>
          <w:bCs/>
          <w:color w:val="FF0000"/>
          <w:kern w:val="0"/>
          <w:sz w:val="24"/>
          <w:lang w:val="en-US" w:eastAsia="zh-CN"/>
        </w:rPr>
        <w:t>9</w:t>
      </w:r>
      <w:r>
        <w:rPr>
          <w:rFonts w:hint="eastAsia" w:ascii="宋体" w:hAnsi="宋体" w:cs="宋体"/>
          <w:bCs/>
          <w:color w:val="FF0000"/>
          <w:kern w:val="0"/>
          <w:sz w:val="24"/>
        </w:rPr>
        <w:t>、售后承诺书</w:t>
      </w:r>
      <w:r>
        <w:rPr>
          <w:rFonts w:hint="eastAsia" w:ascii="宋体" w:hAnsi="宋体" w:cs="宋体"/>
          <w:bCs/>
          <w:color w:val="FF0000"/>
          <w:kern w:val="0"/>
          <w:sz w:val="24"/>
          <w:lang w:val="en-US" w:eastAsia="zh-CN"/>
        </w:rPr>
        <w:t xml:space="preserve">  </w:t>
      </w:r>
      <w:r>
        <w:rPr>
          <w:rFonts w:hint="eastAsia" w:ascii="宋体" w:hAnsi="宋体" w:cs="宋体"/>
          <w:bCs/>
          <w:color w:val="FF0000"/>
          <w:kern w:val="0"/>
          <w:sz w:val="24"/>
          <w:lang w:eastAsia="zh-CN"/>
        </w:rPr>
        <w:t>（</w:t>
      </w:r>
      <w:r>
        <w:rPr>
          <w:rFonts w:hint="eastAsia" w:ascii="宋体" w:hAnsi="宋体" w:cs="宋体"/>
          <w:bCs/>
          <w:color w:val="FF0000"/>
          <w:kern w:val="0"/>
          <w:sz w:val="24"/>
          <w:lang w:val="en-US" w:eastAsia="zh-CN"/>
        </w:rPr>
        <w:t>原件加盖公章</w:t>
      </w:r>
      <w:r>
        <w:rPr>
          <w:rFonts w:hint="eastAsia" w:ascii="宋体" w:hAnsi="宋体" w:cs="宋体"/>
          <w:bCs/>
          <w:color w:val="FF0000"/>
          <w:kern w:val="0"/>
          <w:sz w:val="24"/>
          <w:lang w:eastAsia="zh-CN"/>
        </w:rPr>
        <w:t>）</w:t>
      </w:r>
    </w:p>
    <w:p>
      <w:pPr>
        <w:autoSpaceDE w:val="0"/>
        <w:autoSpaceDN w:val="0"/>
        <w:adjustRightInd w:val="0"/>
        <w:spacing w:line="304" w:lineRule="atLeast"/>
        <w:ind w:firstLine="400"/>
        <w:jc w:val="left"/>
        <w:rPr>
          <w:rFonts w:hint="eastAsia" w:ascii="宋体" w:hAnsi="宋体" w:eastAsia="宋体" w:cs="宋体"/>
          <w:bCs/>
          <w:color w:val="FF0000"/>
          <w:kern w:val="0"/>
          <w:sz w:val="24"/>
          <w:lang w:eastAsia="zh-CN"/>
        </w:rPr>
      </w:pPr>
      <w:r>
        <w:rPr>
          <w:rFonts w:hint="eastAsia" w:ascii="宋体" w:hAnsi="宋体" w:cs="宋体"/>
          <w:bCs/>
          <w:color w:val="FF0000"/>
          <w:kern w:val="0"/>
          <w:sz w:val="24"/>
          <w:lang w:val="en-US" w:eastAsia="zh-CN"/>
        </w:rPr>
        <w:t>10</w:t>
      </w:r>
      <w:r>
        <w:rPr>
          <w:rFonts w:hint="eastAsia" w:ascii="宋体" w:hAnsi="宋体" w:cs="宋体"/>
          <w:bCs/>
          <w:color w:val="FF0000"/>
          <w:kern w:val="0"/>
          <w:sz w:val="24"/>
        </w:rPr>
        <w:t>、近三年业绩</w:t>
      </w:r>
      <w:r>
        <w:rPr>
          <w:rFonts w:hint="eastAsia" w:ascii="宋体" w:hAnsi="宋体" w:cs="宋体"/>
          <w:bCs/>
          <w:color w:val="FF0000"/>
          <w:kern w:val="0"/>
          <w:sz w:val="24"/>
          <w:lang w:val="en-US" w:eastAsia="zh-CN"/>
        </w:rPr>
        <w:t xml:space="preserve">  </w:t>
      </w:r>
      <w:r>
        <w:rPr>
          <w:rFonts w:hint="eastAsia" w:ascii="宋体" w:hAnsi="宋体" w:cs="宋体"/>
          <w:bCs/>
          <w:color w:val="FF0000"/>
          <w:kern w:val="0"/>
          <w:sz w:val="24"/>
          <w:lang w:eastAsia="zh-CN"/>
        </w:rPr>
        <w:t>（</w:t>
      </w:r>
      <w:r>
        <w:rPr>
          <w:rFonts w:hint="eastAsia" w:ascii="宋体" w:hAnsi="宋体" w:cs="宋体"/>
          <w:bCs/>
          <w:color w:val="FF0000"/>
          <w:kern w:val="0"/>
          <w:sz w:val="24"/>
          <w:lang w:val="en-US" w:eastAsia="zh-CN"/>
        </w:rPr>
        <w:t>复印件加盖公章</w:t>
      </w:r>
      <w:r>
        <w:rPr>
          <w:rFonts w:hint="eastAsia" w:ascii="宋体" w:hAnsi="宋体" w:cs="宋体"/>
          <w:bCs/>
          <w:color w:val="FF0000"/>
          <w:kern w:val="0"/>
          <w:sz w:val="24"/>
          <w:lang w:eastAsia="zh-CN"/>
        </w:rPr>
        <w:t>）</w:t>
      </w:r>
    </w:p>
    <w:p>
      <w:pPr>
        <w:autoSpaceDE w:val="0"/>
        <w:autoSpaceDN w:val="0"/>
        <w:adjustRightInd w:val="0"/>
        <w:spacing w:line="304" w:lineRule="atLeast"/>
        <w:ind w:firstLine="400"/>
        <w:jc w:val="left"/>
        <w:rPr>
          <w:rFonts w:hint="default" w:ascii="宋体" w:hAnsi="宋体" w:eastAsia="宋体" w:cs="宋体"/>
          <w:bCs/>
          <w:color w:val="FF0000"/>
          <w:kern w:val="0"/>
          <w:sz w:val="24"/>
          <w:lang w:val="en-US" w:eastAsia="zh-CN"/>
        </w:rPr>
      </w:pPr>
      <w:r>
        <w:rPr>
          <w:rFonts w:hint="eastAsia" w:ascii="宋体" w:hAnsi="宋体" w:cs="宋体"/>
          <w:bCs/>
          <w:color w:val="FF0000"/>
          <w:kern w:val="0"/>
          <w:sz w:val="24"/>
          <w:lang w:val="en-US" w:eastAsia="zh-CN"/>
        </w:rPr>
        <w:t>11、近三年财务状况表  （复印件加盖公章）</w:t>
      </w:r>
    </w:p>
    <w:p>
      <w:pPr>
        <w:autoSpaceDE w:val="0"/>
        <w:autoSpaceDN w:val="0"/>
        <w:adjustRightInd w:val="0"/>
        <w:spacing w:line="304" w:lineRule="atLeast"/>
        <w:ind w:firstLine="400"/>
        <w:jc w:val="left"/>
        <w:rPr>
          <w:rFonts w:ascii="宋体" w:cs="宋体"/>
          <w:bCs/>
          <w:color w:val="FF0000"/>
          <w:kern w:val="0"/>
          <w:sz w:val="24"/>
        </w:rPr>
      </w:pPr>
      <w:r>
        <w:rPr>
          <w:rFonts w:hint="eastAsia" w:ascii="宋体" w:hAnsi="宋体" w:cs="宋体"/>
          <w:bCs/>
          <w:color w:val="FF0000"/>
          <w:kern w:val="0"/>
          <w:sz w:val="24"/>
          <w:lang w:val="en-US" w:eastAsia="zh-CN"/>
        </w:rPr>
        <w:t>12</w:t>
      </w:r>
      <w:r>
        <w:rPr>
          <w:rFonts w:hint="eastAsia" w:ascii="宋体" w:hAnsi="宋体" w:cs="宋体"/>
          <w:bCs/>
          <w:color w:val="FF0000"/>
          <w:kern w:val="0"/>
          <w:sz w:val="24"/>
        </w:rPr>
        <w:t>、投标人认为有必要提供的文件及资料</w:t>
      </w:r>
    </w:p>
    <w:p>
      <w:pPr>
        <w:widowControl/>
        <w:spacing w:line="240" w:lineRule="auto"/>
        <w:jc w:val="left"/>
        <w:rPr>
          <w:rFonts w:ascii="宋体"/>
          <w:color w:val="auto"/>
        </w:rPr>
      </w:pPr>
    </w:p>
    <w:bookmarkEnd w:id="261"/>
    <w:bookmarkEnd w:id="262"/>
    <w:bookmarkEnd w:id="263"/>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Pr>
        <w:bidi w:val="0"/>
      </w:pPr>
    </w:p>
    <w:p>
      <w:pPr>
        <w:pStyle w:val="4"/>
        <w:numPr>
          <w:ilvl w:val="1"/>
          <w:numId w:val="0"/>
        </w:numPr>
        <w:bidi w:val="0"/>
        <w:jc w:val="center"/>
      </w:pPr>
      <w:bookmarkStart w:id="264" w:name="_Toc10633"/>
      <w:bookmarkStart w:id="265" w:name="_Toc19987"/>
      <w:bookmarkStart w:id="266" w:name="_Toc7296"/>
      <w:bookmarkStart w:id="267" w:name="_Toc255764451"/>
      <w:bookmarkStart w:id="268" w:name="_Toc31509"/>
      <w:bookmarkStart w:id="269" w:name="_Toc25765"/>
      <w:bookmarkStart w:id="270" w:name="_Toc4981"/>
      <w:bookmarkStart w:id="271" w:name="_Toc28752"/>
      <w:bookmarkStart w:id="272" w:name="_Toc13722"/>
      <w:bookmarkStart w:id="273" w:name="_Toc979"/>
      <w:bookmarkStart w:id="274" w:name="_Toc2963"/>
      <w:bookmarkStart w:id="275" w:name="_Toc3436"/>
      <w:bookmarkStart w:id="276" w:name="_Toc24645"/>
      <w:bookmarkStart w:id="277" w:name="_Toc152045791"/>
      <w:bookmarkStart w:id="278" w:name="_Toc22721"/>
      <w:bookmarkStart w:id="279" w:name="_Toc29576"/>
      <w:bookmarkStart w:id="280" w:name="_Toc28490"/>
      <w:bookmarkStart w:id="281" w:name="_Toc19691"/>
      <w:bookmarkStart w:id="282" w:name="_Toc669"/>
      <w:bookmarkStart w:id="283" w:name="_Toc9826"/>
      <w:bookmarkStart w:id="284" w:name="_Toc238797663"/>
      <w:bookmarkStart w:id="285" w:name="_Toc238552301"/>
      <w:bookmarkStart w:id="286" w:name="_Toc17937"/>
      <w:bookmarkStart w:id="287" w:name="_Toc152042580"/>
      <w:bookmarkStart w:id="288" w:name="_Toc29321"/>
      <w:bookmarkStart w:id="289" w:name="_Toc26252"/>
      <w:bookmarkStart w:id="290" w:name="_Toc23963"/>
      <w:bookmarkStart w:id="291" w:name="_Toc2679"/>
      <w:bookmarkStart w:id="292" w:name="_Toc28713"/>
      <w:bookmarkStart w:id="293" w:name="_Toc144974860"/>
      <w:bookmarkStart w:id="294" w:name="_Toc22917"/>
      <w:bookmarkStart w:id="295" w:name="_Toc30697"/>
      <w:bookmarkStart w:id="296" w:name="_Toc16650"/>
      <w:bookmarkStart w:id="297" w:name="_Toc2937"/>
      <w:bookmarkStart w:id="298" w:name="_Toc13083"/>
      <w:bookmarkStart w:id="299" w:name="_Toc14948"/>
      <w:bookmarkStart w:id="300" w:name="_Toc23651"/>
      <w:bookmarkStart w:id="301" w:name="_Toc11587"/>
      <w:bookmarkStart w:id="302" w:name="_Toc9564"/>
      <w:r>
        <w:rPr>
          <w:rFonts w:hint="eastAsia"/>
        </w:rPr>
        <w:t>法定代表人身份证明</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440" w:lineRule="exact"/>
        <w:rPr>
          <w:rFonts w:ascii="宋体"/>
          <w:sz w:val="20"/>
          <w:szCs w:val="20"/>
        </w:rPr>
      </w:pPr>
    </w:p>
    <w:p>
      <w:pPr>
        <w:spacing w:line="440" w:lineRule="exact"/>
        <w:rPr>
          <w:rFonts w:ascii="宋体"/>
          <w:szCs w:val="21"/>
        </w:rPr>
      </w:pPr>
    </w:p>
    <w:p>
      <w:pPr>
        <w:autoSpaceDE w:val="0"/>
        <w:autoSpaceDN w:val="0"/>
        <w:adjustRightInd w:val="0"/>
        <w:spacing w:line="480" w:lineRule="exact"/>
        <w:ind w:firstLine="460" w:firstLineChars="192"/>
        <w:jc w:val="left"/>
        <w:rPr>
          <w:rFonts w:ascii="宋体" w:cs="宋体"/>
          <w:bCs/>
          <w:kern w:val="0"/>
          <w:sz w:val="24"/>
          <w:u w:val="single"/>
        </w:rPr>
      </w:pPr>
      <w:r>
        <w:rPr>
          <w:rFonts w:hint="eastAsia" w:ascii="宋体" w:hAnsi="宋体" w:cs="宋体"/>
          <w:bCs/>
          <w:kern w:val="0"/>
          <w:sz w:val="24"/>
        </w:rPr>
        <w:t>投标人名称：</w:t>
      </w:r>
      <w:r>
        <w:rPr>
          <w:rFonts w:ascii="宋体" w:hAnsi="宋体" w:cs="宋体"/>
          <w:bCs/>
          <w:kern w:val="0"/>
          <w:sz w:val="24"/>
          <w:u w:val="single"/>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单位性质：</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地址：</w:t>
      </w:r>
      <w:r>
        <w:rPr>
          <w:rFonts w:ascii="宋体" w:hAnsi="宋体" w:cs="宋体"/>
          <w:bCs/>
          <w:kern w:val="0"/>
          <w:sz w:val="24"/>
          <w:u w:val="single"/>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成立时间：</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年</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月</w:t>
      </w:r>
      <w:r>
        <w:rPr>
          <w:rFonts w:ascii="宋体" w:hAnsi="宋体" w:cs="宋体"/>
          <w:bCs/>
          <w:kern w:val="0"/>
          <w:sz w:val="24"/>
        </w:rPr>
        <w:t xml:space="preserve"> </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日</w:t>
      </w:r>
    </w:p>
    <w:p>
      <w:pPr>
        <w:autoSpaceDE w:val="0"/>
        <w:autoSpaceDN w:val="0"/>
        <w:adjustRightInd w:val="0"/>
        <w:spacing w:line="480" w:lineRule="exact"/>
        <w:ind w:firstLine="460" w:firstLineChars="192"/>
        <w:jc w:val="left"/>
        <w:rPr>
          <w:rFonts w:ascii="宋体" w:cs="宋体"/>
          <w:bCs/>
          <w:kern w:val="0"/>
          <w:sz w:val="24"/>
          <w:u w:val="single"/>
        </w:rPr>
      </w:pPr>
      <w:r>
        <w:rPr>
          <w:rFonts w:hint="eastAsia" w:ascii="宋体" w:hAnsi="宋体" w:cs="宋体"/>
          <w:bCs/>
          <w:kern w:val="0"/>
          <w:sz w:val="24"/>
        </w:rPr>
        <w:t>经营期限：</w:t>
      </w:r>
      <w:r>
        <w:rPr>
          <w:rFonts w:ascii="宋体" w:hAnsi="宋体" w:cs="宋体"/>
          <w:bCs/>
          <w:kern w:val="0"/>
          <w:sz w:val="24"/>
          <w:u w:val="single"/>
        </w:rPr>
        <w:t xml:space="preserve">                               </w:t>
      </w:r>
    </w:p>
    <w:p>
      <w:pPr>
        <w:autoSpaceDE w:val="0"/>
        <w:autoSpaceDN w:val="0"/>
        <w:adjustRightInd w:val="0"/>
        <w:spacing w:line="480" w:lineRule="exact"/>
        <w:ind w:firstLine="460" w:firstLineChars="192"/>
        <w:jc w:val="left"/>
        <w:rPr>
          <w:rFonts w:ascii="宋体" w:cs="宋体"/>
          <w:bCs/>
          <w:kern w:val="0"/>
          <w:sz w:val="24"/>
          <w:u w:val="single"/>
        </w:rPr>
      </w:pPr>
      <w:r>
        <w:rPr>
          <w:rFonts w:hint="eastAsia" w:ascii="宋体" w:hAnsi="宋体" w:cs="宋体"/>
          <w:bCs/>
          <w:kern w:val="0"/>
          <w:sz w:val="24"/>
        </w:rPr>
        <w:t>姓名：</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性别：</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年龄：</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职务：</w:t>
      </w:r>
      <w:r>
        <w:rPr>
          <w:rFonts w:ascii="宋体" w:hAnsi="宋体" w:cs="宋体"/>
          <w:bCs/>
          <w:kern w:val="0"/>
          <w:sz w:val="24"/>
        </w:rPr>
        <w:t>________</w:t>
      </w:r>
    </w:p>
    <w:p>
      <w:pPr>
        <w:autoSpaceDE w:val="0"/>
        <w:autoSpaceDN w:val="0"/>
        <w:adjustRightInd w:val="0"/>
        <w:spacing w:line="480" w:lineRule="exact"/>
        <w:ind w:firstLine="480" w:firstLineChars="200"/>
        <w:jc w:val="left"/>
        <w:rPr>
          <w:rFonts w:ascii="宋体" w:cs="宋体"/>
          <w:bCs/>
          <w:kern w:val="0"/>
          <w:sz w:val="24"/>
        </w:rPr>
      </w:pPr>
      <w:r>
        <w:rPr>
          <w:rFonts w:hint="eastAsia" w:ascii="宋体" w:hAnsi="宋体" w:cs="宋体"/>
          <w:bCs/>
          <w:kern w:val="0"/>
          <w:sz w:val="24"/>
        </w:rPr>
        <w:t>系</w:t>
      </w:r>
      <w:r>
        <w:rPr>
          <w:rFonts w:ascii="宋体" w:hAnsi="宋体" w:cs="宋体"/>
          <w:bCs/>
          <w:kern w:val="0"/>
          <w:sz w:val="24"/>
          <w:u w:val="single"/>
        </w:rPr>
        <w:t xml:space="preserve">                              </w:t>
      </w:r>
      <w:r>
        <w:rPr>
          <w:rFonts w:hint="eastAsia" w:ascii="宋体" w:hAnsi="宋体" w:cs="宋体"/>
          <w:bCs/>
          <w:kern w:val="0"/>
          <w:sz w:val="24"/>
          <w:u w:val="single"/>
        </w:rPr>
        <w:t>（投标人名称）</w:t>
      </w:r>
      <w:r>
        <w:rPr>
          <w:rFonts w:hint="eastAsia" w:ascii="宋体" w:hAnsi="宋体" w:cs="宋体"/>
          <w:bCs/>
          <w:kern w:val="0"/>
          <w:sz w:val="24"/>
        </w:rPr>
        <w:t>的法定代表人。</w:t>
      </w: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特此证明。</w:t>
      </w: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r>
        <w:rPr>
          <w:rFonts w:ascii="宋体" w:hAnsi="宋体" w:cs="宋体"/>
          <w:bCs/>
          <w:kern w:val="0"/>
          <w:sz w:val="24"/>
        </w:rPr>
        <w:t xml:space="preserve">                            </w:t>
      </w:r>
      <w:r>
        <w:rPr>
          <w:rFonts w:hint="eastAsia" w:ascii="宋体" w:hAnsi="宋体" w:cs="宋体"/>
          <w:bCs/>
          <w:kern w:val="0"/>
          <w:sz w:val="24"/>
        </w:rPr>
        <w:t>投标人：</w:t>
      </w:r>
      <w:r>
        <w:rPr>
          <w:rFonts w:ascii="宋体" w:hAnsi="宋体" w:cs="宋体"/>
          <w:bCs/>
          <w:kern w:val="0"/>
          <w:sz w:val="24"/>
        </w:rPr>
        <w:t xml:space="preserve">                 </w:t>
      </w:r>
      <w:r>
        <w:rPr>
          <w:rFonts w:hint="eastAsia" w:ascii="宋体" w:hAnsi="宋体" w:cs="宋体"/>
          <w:bCs/>
          <w:kern w:val="0"/>
          <w:sz w:val="24"/>
        </w:rPr>
        <w:t>（公章）</w:t>
      </w:r>
    </w:p>
    <w:p>
      <w:pPr>
        <w:autoSpaceDE w:val="0"/>
        <w:autoSpaceDN w:val="0"/>
        <w:adjustRightInd w:val="0"/>
        <w:spacing w:line="480" w:lineRule="exact"/>
        <w:ind w:firstLine="460" w:firstLineChars="192"/>
        <w:jc w:val="left"/>
        <w:rPr>
          <w:rFonts w:ascii="宋体" w:cs="宋体"/>
          <w:bCs/>
          <w:kern w:val="0"/>
          <w:sz w:val="24"/>
        </w:rPr>
      </w:pPr>
      <w:r>
        <w:rPr>
          <w:rFonts w:ascii="宋体" w:hAnsi="宋体" w:cs="宋体"/>
          <w:bCs/>
          <w:kern w:val="0"/>
          <w:sz w:val="24"/>
        </w:rPr>
        <w:t xml:space="preserve">                            </w:t>
      </w:r>
      <w:r>
        <w:rPr>
          <w:rFonts w:hint="eastAsia" w:ascii="宋体" w:hAnsi="宋体" w:cs="宋体"/>
          <w:bCs/>
          <w:kern w:val="0"/>
          <w:sz w:val="24"/>
        </w:rPr>
        <w:t>日期：</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年</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月</w:t>
      </w:r>
      <w:r>
        <w:rPr>
          <w:rFonts w:ascii="宋体" w:hAnsi="宋体" w:cs="宋体"/>
          <w:bCs/>
          <w:kern w:val="0"/>
          <w:sz w:val="24"/>
        </w:rPr>
        <w:t xml:space="preserve"> </w:t>
      </w:r>
      <w:r>
        <w:rPr>
          <w:rFonts w:ascii="宋体" w:hAnsi="宋体" w:cs="宋体"/>
          <w:bCs/>
          <w:kern w:val="0"/>
          <w:sz w:val="24"/>
          <w:u w:val="single"/>
        </w:rPr>
        <w:t xml:space="preserve">      </w:t>
      </w:r>
      <w:r>
        <w:rPr>
          <w:rFonts w:ascii="宋体" w:hAnsi="宋体" w:cs="宋体"/>
          <w:bCs/>
          <w:kern w:val="0"/>
          <w:sz w:val="24"/>
        </w:rPr>
        <w:t xml:space="preserve"> </w:t>
      </w:r>
      <w:r>
        <w:rPr>
          <w:rFonts w:hint="eastAsia" w:ascii="宋体" w:hAnsi="宋体" w:cs="宋体"/>
          <w:bCs/>
          <w:kern w:val="0"/>
          <w:sz w:val="24"/>
        </w:rPr>
        <w:t>日</w:t>
      </w: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r>
        <w:rPr>
          <w:rFonts w:ascii="宋体" w:hAnsi="宋体" w:cs="宋体"/>
          <w:bCs/>
          <w:kern w:val="0"/>
          <w:sz w:val="24"/>
        </w:rPr>
        <w:t xml:space="preserve">              </w:t>
      </w:r>
      <w:r>
        <w:rPr>
          <w:rFonts w:hint="eastAsia" w:ascii="宋体" w:hAnsi="宋体" w:cs="宋体"/>
          <w:bCs/>
          <w:kern w:val="0"/>
          <w:sz w:val="24"/>
        </w:rPr>
        <w:t>（附法定代表人身份证复印件至此）</w:t>
      </w:r>
    </w:p>
    <w:p>
      <w:pPr>
        <w:autoSpaceDE w:val="0"/>
        <w:autoSpaceDN w:val="0"/>
        <w:adjustRightInd w:val="0"/>
        <w:spacing w:line="480" w:lineRule="exact"/>
        <w:ind w:firstLine="384" w:firstLineChars="192"/>
        <w:jc w:val="left"/>
        <w:rPr>
          <w:rFonts w:ascii="宋体"/>
          <w:sz w:val="20"/>
          <w:szCs w:val="20"/>
        </w:rPr>
      </w:pPr>
    </w:p>
    <w:p>
      <w:pPr>
        <w:autoSpaceDE w:val="0"/>
        <w:autoSpaceDN w:val="0"/>
        <w:adjustRightInd w:val="0"/>
        <w:spacing w:line="480" w:lineRule="exact"/>
        <w:ind w:firstLine="384" w:firstLineChars="192"/>
        <w:jc w:val="left"/>
        <w:rPr>
          <w:rFonts w:ascii="宋体"/>
          <w:sz w:val="20"/>
          <w:szCs w:val="20"/>
        </w:rPr>
      </w:pPr>
    </w:p>
    <w:p>
      <w:pPr>
        <w:autoSpaceDE w:val="0"/>
        <w:autoSpaceDN w:val="0"/>
        <w:adjustRightInd w:val="0"/>
        <w:spacing w:line="480" w:lineRule="exact"/>
        <w:ind w:firstLine="384" w:firstLineChars="192"/>
        <w:jc w:val="left"/>
        <w:rPr>
          <w:rFonts w:ascii="宋体"/>
          <w:sz w:val="20"/>
          <w:szCs w:val="20"/>
        </w:rPr>
      </w:pPr>
    </w:p>
    <w:p>
      <w:pPr>
        <w:autoSpaceDE w:val="0"/>
        <w:autoSpaceDN w:val="0"/>
        <w:adjustRightInd w:val="0"/>
        <w:spacing w:line="480" w:lineRule="exact"/>
        <w:ind w:firstLine="384" w:firstLineChars="192"/>
        <w:jc w:val="left"/>
        <w:rPr>
          <w:rFonts w:ascii="宋体"/>
          <w:sz w:val="20"/>
          <w:szCs w:val="20"/>
        </w:rPr>
      </w:pPr>
    </w:p>
    <w:p>
      <w:pPr>
        <w:autoSpaceDE w:val="0"/>
        <w:autoSpaceDN w:val="0"/>
        <w:adjustRightInd w:val="0"/>
        <w:spacing w:line="480" w:lineRule="exact"/>
        <w:ind w:firstLine="384" w:firstLineChars="192"/>
        <w:jc w:val="left"/>
        <w:rPr>
          <w:rFonts w:ascii="宋体"/>
          <w:sz w:val="20"/>
          <w:szCs w:val="20"/>
        </w:rPr>
      </w:pPr>
    </w:p>
    <w:p>
      <w:pPr>
        <w:pStyle w:val="4"/>
        <w:numPr>
          <w:ilvl w:val="1"/>
          <w:numId w:val="0"/>
        </w:numPr>
        <w:bidi w:val="0"/>
        <w:ind w:leftChars="0"/>
        <w:jc w:val="center"/>
      </w:pPr>
      <w:bookmarkStart w:id="303" w:name="_Toc7295"/>
      <w:bookmarkStart w:id="304" w:name="_Toc25149"/>
      <w:bookmarkStart w:id="305" w:name="_Toc12179"/>
      <w:bookmarkStart w:id="306" w:name="_Toc238797664"/>
      <w:bookmarkStart w:id="307" w:name="_Toc20130"/>
      <w:bookmarkStart w:id="308" w:name="_Toc11905"/>
      <w:bookmarkStart w:id="309" w:name="_Toc17864"/>
      <w:bookmarkStart w:id="310" w:name="_Toc29282"/>
      <w:bookmarkStart w:id="311" w:name="_Toc31389"/>
      <w:bookmarkStart w:id="312" w:name="_Toc255764452"/>
      <w:bookmarkStart w:id="313" w:name="_Toc152042581"/>
      <w:bookmarkStart w:id="314" w:name="_Toc21414"/>
      <w:bookmarkStart w:id="315" w:name="_Toc374"/>
      <w:bookmarkStart w:id="316" w:name="_Toc24982"/>
      <w:bookmarkStart w:id="317" w:name="_Toc14319"/>
      <w:bookmarkStart w:id="318" w:name="_Toc15082"/>
      <w:bookmarkStart w:id="319" w:name="_Toc152045792"/>
      <w:bookmarkStart w:id="320" w:name="_Toc18863"/>
      <w:bookmarkStart w:id="321" w:name="_Toc5186"/>
      <w:bookmarkStart w:id="322" w:name="_Toc15465"/>
      <w:bookmarkStart w:id="323" w:name="_Toc11816"/>
      <w:bookmarkStart w:id="324" w:name="_Toc30355"/>
      <w:bookmarkStart w:id="325" w:name="_Toc26352"/>
      <w:bookmarkStart w:id="326" w:name="_Toc14596"/>
      <w:bookmarkStart w:id="327" w:name="_Toc6226"/>
      <w:bookmarkStart w:id="328" w:name="_Toc27790"/>
      <w:bookmarkStart w:id="329" w:name="_Toc23801"/>
      <w:bookmarkStart w:id="330" w:name="_Toc8790"/>
      <w:bookmarkStart w:id="331" w:name="_Toc19714"/>
      <w:bookmarkStart w:id="332" w:name="_Toc144974861"/>
      <w:bookmarkStart w:id="333" w:name="_Toc25300"/>
      <w:bookmarkStart w:id="334" w:name="_Toc16406"/>
      <w:bookmarkStart w:id="335" w:name="_Toc238552302"/>
      <w:r>
        <w:rPr>
          <w:rFonts w:hint="eastAsia"/>
        </w:rPr>
        <w:t>授权委托书</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440" w:lineRule="exact"/>
        <w:rPr>
          <w:rFonts w:ascii="宋体"/>
          <w:szCs w:val="21"/>
        </w:rPr>
      </w:pPr>
    </w:p>
    <w:p>
      <w:pPr>
        <w:autoSpaceDE w:val="0"/>
        <w:autoSpaceDN w:val="0"/>
        <w:adjustRightInd w:val="0"/>
        <w:spacing w:line="480" w:lineRule="exact"/>
        <w:ind w:firstLine="400"/>
        <w:jc w:val="left"/>
        <w:rPr>
          <w:rFonts w:ascii="宋体" w:cs="宋体"/>
          <w:bCs/>
          <w:kern w:val="0"/>
          <w:sz w:val="24"/>
        </w:rPr>
      </w:pPr>
      <w:r>
        <w:rPr>
          <w:rFonts w:hint="eastAsia" w:ascii="宋体" w:hAnsi="宋体" w:cs="宋体"/>
          <w:bCs/>
          <w:kern w:val="0"/>
          <w:sz w:val="24"/>
        </w:rPr>
        <w:t>本授权委托书声明：我</w:t>
      </w:r>
      <w:r>
        <w:rPr>
          <w:rFonts w:ascii="宋体" w:hAnsi="宋体" w:cs="宋体"/>
          <w:bCs/>
          <w:kern w:val="0"/>
          <w:sz w:val="24"/>
          <w:u w:val="single"/>
        </w:rPr>
        <w:t xml:space="preserve">      </w:t>
      </w:r>
      <w:r>
        <w:rPr>
          <w:rFonts w:ascii="宋体" w:hAnsi="宋体" w:cs="宋体"/>
          <w:bCs/>
          <w:kern w:val="0"/>
          <w:sz w:val="24"/>
        </w:rPr>
        <w:t>(</w:t>
      </w:r>
      <w:r>
        <w:rPr>
          <w:rFonts w:hint="eastAsia" w:ascii="宋体" w:hAnsi="宋体" w:cs="宋体"/>
          <w:bCs/>
          <w:kern w:val="0"/>
          <w:sz w:val="24"/>
        </w:rPr>
        <w:t>姓名</w:t>
      </w:r>
      <w:r>
        <w:rPr>
          <w:rFonts w:ascii="宋体" w:hAnsi="宋体" w:cs="宋体"/>
          <w:bCs/>
          <w:kern w:val="0"/>
          <w:sz w:val="24"/>
        </w:rPr>
        <w:t>)</w:t>
      </w:r>
      <w:r>
        <w:rPr>
          <w:rFonts w:hint="eastAsia" w:ascii="宋体" w:hAnsi="宋体" w:cs="宋体"/>
          <w:bCs/>
          <w:kern w:val="0"/>
          <w:sz w:val="24"/>
        </w:rPr>
        <w:t>系</w:t>
      </w:r>
      <w:r>
        <w:rPr>
          <w:rFonts w:ascii="宋体" w:hAnsi="宋体" w:cs="宋体"/>
          <w:bCs/>
          <w:kern w:val="0"/>
          <w:sz w:val="24"/>
          <w:u w:val="single"/>
        </w:rPr>
        <w:t xml:space="preserve">                    </w:t>
      </w:r>
      <w:r>
        <w:rPr>
          <w:rFonts w:ascii="宋体" w:hAnsi="宋体" w:cs="宋体"/>
          <w:bCs/>
          <w:kern w:val="0"/>
          <w:sz w:val="24"/>
        </w:rPr>
        <w:t>(</w:t>
      </w:r>
      <w:r>
        <w:rPr>
          <w:rFonts w:hint="eastAsia" w:ascii="宋体" w:hAnsi="宋体" w:cs="宋体"/>
          <w:bCs/>
          <w:kern w:val="0"/>
          <w:sz w:val="24"/>
        </w:rPr>
        <w:t>投标人名称</w:t>
      </w:r>
      <w:r>
        <w:rPr>
          <w:rFonts w:ascii="宋体" w:hAnsi="宋体" w:cs="宋体"/>
          <w:bCs/>
          <w:kern w:val="0"/>
          <w:sz w:val="24"/>
        </w:rPr>
        <w:t xml:space="preserve">)    </w:t>
      </w:r>
      <w:r>
        <w:rPr>
          <w:rFonts w:hint="eastAsia" w:ascii="宋体" w:hAnsi="宋体" w:cs="宋体"/>
          <w:bCs/>
          <w:kern w:val="0"/>
          <w:sz w:val="24"/>
        </w:rPr>
        <w:t>的法定代表人，现授权委托</w:t>
      </w:r>
      <w:r>
        <w:rPr>
          <w:rFonts w:ascii="宋体" w:hAnsi="宋体" w:cs="宋体"/>
          <w:bCs/>
          <w:kern w:val="0"/>
          <w:sz w:val="24"/>
          <w:u w:val="single"/>
        </w:rPr>
        <w:t xml:space="preserve">                    </w:t>
      </w:r>
      <w:r>
        <w:rPr>
          <w:rFonts w:ascii="宋体" w:hAnsi="宋体" w:cs="宋体"/>
          <w:bCs/>
          <w:kern w:val="0"/>
          <w:sz w:val="24"/>
        </w:rPr>
        <w:t>(</w:t>
      </w:r>
      <w:r>
        <w:rPr>
          <w:rFonts w:hint="eastAsia" w:ascii="宋体" w:hAnsi="宋体" w:cs="宋体"/>
          <w:bCs/>
          <w:kern w:val="0"/>
          <w:sz w:val="24"/>
        </w:rPr>
        <w:t>单位名称</w:t>
      </w:r>
      <w:r>
        <w:rPr>
          <w:rFonts w:ascii="宋体" w:hAnsi="宋体" w:cs="宋体"/>
          <w:bCs/>
          <w:kern w:val="0"/>
          <w:sz w:val="24"/>
        </w:rPr>
        <w:t>)</w:t>
      </w:r>
      <w:r>
        <w:rPr>
          <w:rFonts w:hint="eastAsia" w:ascii="宋体" w:hAnsi="宋体" w:cs="宋体"/>
          <w:bCs/>
          <w:kern w:val="0"/>
          <w:sz w:val="24"/>
        </w:rPr>
        <w:t>的</w:t>
      </w:r>
      <w:r>
        <w:rPr>
          <w:rFonts w:ascii="宋体" w:hAnsi="宋体" w:cs="宋体"/>
          <w:bCs/>
          <w:kern w:val="0"/>
          <w:sz w:val="24"/>
          <w:u w:val="single"/>
        </w:rPr>
        <w:t xml:space="preserve">       </w:t>
      </w:r>
      <w:r>
        <w:rPr>
          <w:rFonts w:ascii="宋体" w:hAnsi="宋体" w:cs="宋体"/>
          <w:bCs/>
          <w:kern w:val="0"/>
          <w:sz w:val="24"/>
        </w:rPr>
        <w:t>(</w:t>
      </w:r>
      <w:r>
        <w:rPr>
          <w:rFonts w:hint="eastAsia" w:ascii="宋体" w:hAnsi="宋体" w:cs="宋体"/>
          <w:bCs/>
          <w:kern w:val="0"/>
          <w:sz w:val="24"/>
        </w:rPr>
        <w:t>姓名</w:t>
      </w:r>
      <w:r>
        <w:rPr>
          <w:rFonts w:ascii="宋体" w:hAnsi="宋体" w:cs="宋体"/>
          <w:bCs/>
          <w:kern w:val="0"/>
          <w:sz w:val="24"/>
        </w:rPr>
        <w:t xml:space="preserve">)  </w:t>
      </w:r>
      <w:r>
        <w:rPr>
          <w:rFonts w:hint="eastAsia" w:ascii="宋体" w:hAnsi="宋体" w:cs="宋体"/>
          <w:bCs/>
          <w:kern w:val="0"/>
          <w:sz w:val="24"/>
        </w:rPr>
        <w:t>为我公司签署</w:t>
      </w:r>
      <w:r>
        <w:rPr>
          <w:rFonts w:ascii="宋体" w:hAnsi="宋体" w:cs="宋体"/>
          <w:bCs/>
          <w:kern w:val="0"/>
          <w:sz w:val="24"/>
          <w:u w:val="single"/>
        </w:rPr>
        <w:t xml:space="preserve">                   </w:t>
      </w:r>
      <w:r>
        <w:rPr>
          <w:rFonts w:hint="eastAsia" w:ascii="宋体" w:hAnsi="宋体" w:cs="宋体"/>
          <w:bCs/>
          <w:kern w:val="0"/>
          <w:sz w:val="24"/>
        </w:rPr>
        <w:t>项目</w:t>
      </w:r>
      <w:r>
        <w:rPr>
          <w:rFonts w:ascii="宋体" w:hAnsi="宋体" w:cs="宋体"/>
          <w:bCs/>
          <w:kern w:val="0"/>
          <w:sz w:val="24"/>
          <w:u w:val="single"/>
        </w:rPr>
        <w:t xml:space="preserve">      </w:t>
      </w:r>
      <w:r>
        <w:rPr>
          <w:rFonts w:hint="eastAsia" w:ascii="宋体" w:hAnsi="宋体" w:cs="宋体"/>
          <w:bCs/>
          <w:kern w:val="0"/>
          <w:sz w:val="24"/>
        </w:rPr>
        <w:t>（物资品种）投标文件的法定代表人授权委托代理人，我承认代理人全权代表我所签署的本项目的投标文件的内容。</w:t>
      </w:r>
    </w:p>
    <w:p>
      <w:pPr>
        <w:autoSpaceDE w:val="0"/>
        <w:autoSpaceDN w:val="0"/>
        <w:adjustRightInd w:val="0"/>
        <w:spacing w:line="480" w:lineRule="exact"/>
        <w:ind w:firstLine="460" w:firstLineChars="192"/>
        <w:jc w:val="left"/>
        <w:rPr>
          <w:rFonts w:ascii="宋体" w:cs="宋体"/>
          <w:bCs/>
          <w:kern w:val="0"/>
          <w:sz w:val="24"/>
        </w:rPr>
      </w:pP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代理人无转委托权，特此委托。</w:t>
      </w: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法定代表人签字或盖章：</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法定代表人身份证号码：</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被授权代理人签字或盖章：</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被授权代理人身份证号码：</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单位名称（公章）：</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单位地址：</w:t>
      </w:r>
      <w:r>
        <w:rPr>
          <w:rFonts w:ascii="宋体" w:hAnsi="宋体" w:cs="宋体"/>
          <w:bCs/>
          <w:kern w:val="0"/>
          <w:sz w:val="24"/>
          <w:u w:val="single"/>
        </w:rPr>
        <w:t xml:space="preserve">                                               </w:t>
      </w:r>
      <w:r>
        <w:rPr>
          <w:rFonts w:ascii="宋体" w:hAnsi="宋体" w:cs="宋体"/>
          <w:bCs/>
          <w:kern w:val="0"/>
          <w:sz w:val="24"/>
        </w:rPr>
        <w:t xml:space="preserve">                         </w:t>
      </w:r>
    </w:p>
    <w:p>
      <w:pPr>
        <w:autoSpaceDE w:val="0"/>
        <w:autoSpaceDN w:val="0"/>
        <w:adjustRightInd w:val="0"/>
        <w:spacing w:line="480" w:lineRule="exact"/>
        <w:ind w:firstLine="460" w:firstLineChars="192"/>
        <w:jc w:val="left"/>
        <w:rPr>
          <w:rFonts w:ascii="宋体" w:cs="宋体"/>
          <w:bCs/>
          <w:kern w:val="0"/>
          <w:sz w:val="24"/>
        </w:rPr>
      </w:pPr>
      <w:r>
        <w:rPr>
          <w:rFonts w:hint="eastAsia" w:ascii="宋体" w:hAnsi="宋体" w:cs="宋体"/>
          <w:bCs/>
          <w:kern w:val="0"/>
          <w:sz w:val="24"/>
        </w:rPr>
        <w:t>日期：</w:t>
      </w:r>
      <w:r>
        <w:rPr>
          <w:rFonts w:ascii="宋体" w:hAnsi="宋体" w:cs="宋体"/>
          <w:bCs/>
          <w:kern w:val="0"/>
          <w:sz w:val="24"/>
          <w:u w:val="single"/>
        </w:rPr>
        <w:t xml:space="preserve">         </w:t>
      </w:r>
      <w:r>
        <w:rPr>
          <w:rFonts w:hint="eastAsia" w:ascii="宋体" w:hAnsi="宋体" w:cs="宋体"/>
          <w:bCs/>
          <w:kern w:val="0"/>
          <w:sz w:val="24"/>
        </w:rPr>
        <w:t>年</w:t>
      </w:r>
      <w:r>
        <w:rPr>
          <w:rFonts w:ascii="宋体" w:hAnsi="宋体" w:cs="宋体"/>
          <w:bCs/>
          <w:kern w:val="0"/>
          <w:sz w:val="24"/>
          <w:u w:val="single"/>
        </w:rPr>
        <w:t xml:space="preserve">     </w:t>
      </w:r>
      <w:r>
        <w:rPr>
          <w:rFonts w:hint="eastAsia" w:ascii="宋体" w:hAnsi="宋体" w:cs="宋体"/>
          <w:bCs/>
          <w:kern w:val="0"/>
          <w:sz w:val="24"/>
        </w:rPr>
        <w:t>月</w:t>
      </w:r>
      <w:r>
        <w:rPr>
          <w:rFonts w:ascii="宋体" w:hAnsi="宋体" w:cs="宋体"/>
          <w:bCs/>
          <w:kern w:val="0"/>
          <w:sz w:val="24"/>
          <w:u w:val="single"/>
        </w:rPr>
        <w:t xml:space="preserve">     </w:t>
      </w:r>
      <w:r>
        <w:rPr>
          <w:rFonts w:hint="eastAsia" w:ascii="宋体" w:hAnsi="宋体" w:cs="宋体"/>
          <w:bCs/>
          <w:kern w:val="0"/>
          <w:sz w:val="24"/>
        </w:rPr>
        <w:t>日</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pStyle w:val="4"/>
        <w:numPr>
          <w:ilvl w:val="1"/>
          <w:numId w:val="0"/>
        </w:numPr>
        <w:bidi w:val="0"/>
        <w:ind w:leftChars="0"/>
        <w:jc w:val="center"/>
        <w:rPr>
          <w:rFonts w:hint="eastAsia"/>
          <w:color w:val="auto"/>
          <w:lang w:val="en-US" w:eastAsia="zh-CN"/>
        </w:rPr>
      </w:pPr>
      <w:r>
        <w:br w:type="page"/>
      </w:r>
      <w:bookmarkStart w:id="336" w:name="_Toc13339"/>
      <w:bookmarkStart w:id="337" w:name="_Toc20815"/>
      <w:r>
        <w:rPr>
          <w:rFonts w:hint="eastAsia"/>
          <w:color w:val="auto"/>
          <w:lang w:val="en-US" w:eastAsia="zh-CN"/>
        </w:rPr>
        <w:t>承诺书</w:t>
      </w:r>
      <w:bookmarkEnd w:id="336"/>
      <w:bookmarkEnd w:id="337"/>
    </w:p>
    <w:p>
      <w:pPr>
        <w:autoSpaceDE w:val="0"/>
        <w:autoSpaceDN w:val="0"/>
        <w:adjustRightInd w:val="0"/>
        <w:spacing w:line="480" w:lineRule="exact"/>
        <w:ind w:firstLine="400"/>
        <w:jc w:val="left"/>
        <w:rPr>
          <w:rFonts w:hint="eastAsia" w:ascii="宋体" w:hAnsi="宋体" w:cs="宋体"/>
          <w:bCs/>
          <w:color w:val="auto"/>
          <w:kern w:val="0"/>
          <w:sz w:val="24"/>
          <w:u w:val="single"/>
          <w:lang w:val="en-US" w:eastAsia="zh-CN"/>
        </w:rPr>
      </w:pPr>
      <w:r>
        <w:rPr>
          <w:rFonts w:hint="eastAsia" w:ascii="宋体" w:hAnsi="宋体" w:cs="宋体"/>
          <w:bCs/>
          <w:color w:val="auto"/>
          <w:kern w:val="0"/>
          <w:sz w:val="24"/>
          <w:lang w:val="en-US" w:eastAsia="zh-CN"/>
        </w:rPr>
        <w:t>致</w:t>
      </w:r>
      <w:r>
        <w:rPr>
          <w:rFonts w:hint="eastAsia" w:ascii="宋体" w:hAnsi="宋体" w:eastAsia="宋体" w:cs="宋体"/>
          <w:b w:val="0"/>
          <w:bCs/>
          <w:color w:val="auto"/>
          <w:kern w:val="0"/>
          <w:sz w:val="24"/>
          <w:u w:val="single"/>
          <w:lang w:val="en-US" w:eastAsia="zh-CN"/>
        </w:rPr>
        <w:t>贵州建工云富集采有限责任公司</w:t>
      </w:r>
      <w:r>
        <w:rPr>
          <w:rFonts w:hint="eastAsia" w:ascii="宋体" w:hAnsi="宋体" w:cs="宋体"/>
          <w:bCs/>
          <w:color w:val="auto"/>
          <w:kern w:val="0"/>
          <w:sz w:val="24"/>
          <w:lang w:val="en-US" w:eastAsia="zh-CN"/>
        </w:rPr>
        <w:t>采购人：</w:t>
      </w:r>
      <w:r>
        <w:rPr>
          <w:rFonts w:hint="eastAsia" w:ascii="宋体" w:hAnsi="宋体" w:cs="宋体"/>
          <w:bCs/>
          <w:color w:val="auto"/>
          <w:kern w:val="0"/>
          <w:sz w:val="24"/>
          <w:u w:val="single"/>
          <w:lang w:val="en-US" w:eastAsia="zh-CN"/>
        </w:rPr>
        <w:t xml:space="preserve">     </w:t>
      </w:r>
    </w:p>
    <w:p>
      <w:pPr>
        <w:autoSpaceDE w:val="0"/>
        <w:autoSpaceDN w:val="0"/>
        <w:adjustRightInd w:val="0"/>
        <w:spacing w:line="480" w:lineRule="exact"/>
        <w:ind w:firstLine="400"/>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我方作为竞争性谈判响应人已认真阅读熟知采购人（编号：</w:t>
      </w:r>
      <w:r>
        <w:rPr>
          <w:rFonts w:hint="eastAsia" w:ascii="仿宋_GB2312" w:hAnsi="仿宋_GB2312" w:eastAsia="仿宋_GB2312" w:cs="仿宋_GB2312"/>
          <w:color w:val="FF0000"/>
          <w:sz w:val="22"/>
          <w:szCs w:val="22"/>
        </w:rPr>
        <w:t>GC</w:t>
      </w:r>
      <w:r>
        <w:rPr>
          <w:rFonts w:hint="eastAsia" w:ascii="仿宋_GB2312" w:hAnsi="仿宋_GB2312" w:eastAsia="仿宋_GB2312" w:cs="仿宋_GB2312"/>
          <w:color w:val="FF0000"/>
          <w:sz w:val="22"/>
          <w:szCs w:val="22"/>
          <w:lang w:val="en-US" w:eastAsia="zh-CN"/>
        </w:rPr>
        <w:t>2022/</w:t>
      </w:r>
      <w:r>
        <w:rPr>
          <w:rFonts w:hint="eastAsia" w:ascii="仿宋_GB2312" w:hAnsi="仿宋_GB2312" w:eastAsia="仿宋_GB2312" w:cs="仿宋_GB2312"/>
          <w:color w:val="FF0000"/>
          <w:sz w:val="22"/>
          <w:szCs w:val="22"/>
        </w:rPr>
        <w:t>0</w:t>
      </w:r>
      <w:r>
        <w:rPr>
          <w:rFonts w:hint="eastAsia" w:ascii="仿宋_GB2312" w:hAnsi="仿宋_GB2312" w:eastAsia="仿宋_GB2312" w:cs="仿宋_GB2312"/>
          <w:color w:val="FF0000"/>
          <w:sz w:val="22"/>
          <w:szCs w:val="22"/>
          <w:lang w:val="en-US" w:eastAsia="zh-CN"/>
        </w:rPr>
        <w:t>7/21</w:t>
      </w:r>
      <w:r>
        <w:rPr>
          <w:rFonts w:hint="eastAsia" w:ascii="仿宋_GB2312" w:hAnsi="仿宋_GB2312" w:eastAsia="仿宋_GB2312" w:cs="仿宋_GB2312"/>
          <w:color w:val="FF0000"/>
          <w:sz w:val="22"/>
          <w:szCs w:val="22"/>
        </w:rPr>
        <w:t>-</w:t>
      </w:r>
      <w:r>
        <w:rPr>
          <w:rFonts w:hint="eastAsia" w:ascii="仿宋_GB2312" w:hAnsi="仿宋_GB2312" w:eastAsia="仿宋_GB2312" w:cs="仿宋_GB2312"/>
          <w:color w:val="FF0000"/>
          <w:sz w:val="22"/>
          <w:szCs w:val="22"/>
          <w:lang w:val="en-US" w:eastAsia="zh-CN"/>
        </w:rPr>
        <w:t>01</w:t>
      </w:r>
      <w:r>
        <w:rPr>
          <w:rFonts w:hint="eastAsia" w:ascii="宋体" w:hAnsi="宋体" w:cs="宋体"/>
          <w:bCs/>
          <w:color w:val="auto"/>
          <w:kern w:val="0"/>
          <w:sz w:val="24"/>
          <w:lang w:val="en-US" w:eastAsia="zh-CN"/>
        </w:rPr>
        <w:t>） 的物资招标采购文件，并自愿承诺如下：</w:t>
      </w:r>
    </w:p>
    <w:p>
      <w:pPr>
        <w:autoSpaceDE w:val="0"/>
        <w:autoSpaceDN w:val="0"/>
        <w:adjustRightInd w:val="0"/>
        <w:spacing w:line="480" w:lineRule="exact"/>
        <w:ind w:firstLine="400"/>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1. 我单位保证提供的产品为我单位具有自有知识产权/取得产权使用许可的产品，承担因使用其他单位专利、著作等知识产权造成的一切法律责任，因该产品知识产权纠纷给施工生产造成影响时，贵单位有权终止合同，并由我方承担应急采购造成的损失。</w:t>
      </w:r>
    </w:p>
    <w:p>
      <w:pPr>
        <w:autoSpaceDE w:val="0"/>
        <w:autoSpaceDN w:val="0"/>
        <w:adjustRightInd w:val="0"/>
        <w:spacing w:line="480" w:lineRule="exact"/>
        <w:ind w:firstLine="400"/>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2、我方具有良好的社会信誉，近期没有在其他项目同类产品采购中以次充好或提供假冒伪劣产品等行为，在报价中没有提供虚假材料或违规违纪处于被取消报价资格的情况；最近两年内没有与骗取合同或因为行贿受贿等有关的犯罪或严重违法行为而引起的诉讼和仲裁；最近两年不曾在合同中严重违约或被逐；财产未被接管或冻结， ；投标期间未被贵州建工集团及其下属单位列入“供应商”黑名单。</w:t>
      </w:r>
    </w:p>
    <w:p>
      <w:pPr>
        <w:autoSpaceDE w:val="0"/>
        <w:autoSpaceDN w:val="0"/>
        <w:adjustRightInd w:val="0"/>
        <w:spacing w:line="480" w:lineRule="exact"/>
        <w:ind w:firstLine="400"/>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我方承诺上述情况属实，若采购人查实有不实情况，我方除同意采购人不退签约保证金、取消成交资格外，还愿意承担由此给采购人造成的其他损失。</w:t>
      </w:r>
    </w:p>
    <w:p>
      <w:pPr>
        <w:autoSpaceDE w:val="0"/>
        <w:autoSpaceDN w:val="0"/>
        <w:adjustRightInd w:val="0"/>
        <w:spacing w:line="480" w:lineRule="exact"/>
        <w:ind w:firstLine="400"/>
        <w:jc w:val="left"/>
        <w:rPr>
          <w:rFonts w:hint="eastAsia" w:ascii="宋体" w:hAnsi="宋体" w:cs="宋体"/>
          <w:bCs/>
          <w:color w:val="auto"/>
          <w:kern w:val="0"/>
          <w:sz w:val="24"/>
          <w:lang w:val="en-US" w:eastAsia="zh-CN"/>
        </w:rPr>
      </w:pPr>
    </w:p>
    <w:p>
      <w:pPr>
        <w:autoSpaceDE w:val="0"/>
        <w:autoSpaceDN w:val="0"/>
        <w:adjustRightInd w:val="0"/>
        <w:spacing w:line="480" w:lineRule="exact"/>
        <w:ind w:firstLine="400"/>
        <w:jc w:val="left"/>
        <w:rPr>
          <w:rFonts w:hint="eastAsia" w:ascii="宋体" w:hAnsi="宋体" w:cs="宋体"/>
          <w:bCs/>
          <w:color w:val="auto"/>
          <w:kern w:val="0"/>
          <w:sz w:val="24"/>
          <w:lang w:val="en-US" w:eastAsia="zh-CN"/>
        </w:rPr>
      </w:pPr>
    </w:p>
    <w:p>
      <w:pPr>
        <w:autoSpaceDE w:val="0"/>
        <w:autoSpaceDN w:val="0"/>
        <w:adjustRightInd w:val="0"/>
        <w:spacing w:line="480" w:lineRule="exact"/>
        <w:ind w:left="4098" w:leftChars="1938" w:hanging="28" w:hangingChars="12"/>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供应商名称：</w:t>
      </w:r>
      <w:r>
        <w:rPr>
          <w:rFonts w:hint="eastAsia" w:ascii="宋体" w:hAnsi="宋体" w:cs="宋体"/>
          <w:bCs/>
          <w:color w:val="auto"/>
          <w:kern w:val="0"/>
          <w:sz w:val="24"/>
          <w:lang w:val="en-US" w:eastAsia="zh-CN"/>
        </w:rPr>
        <w:tab/>
      </w:r>
      <w:r>
        <w:rPr>
          <w:rFonts w:hint="eastAsia" w:ascii="宋体" w:hAnsi="宋体" w:cs="宋体"/>
          <w:bCs/>
          <w:color w:val="auto"/>
          <w:kern w:val="0"/>
          <w:sz w:val="24"/>
          <w:lang w:val="en-US" w:eastAsia="zh-CN"/>
        </w:rPr>
        <w:t>（加盖公章）               法定代表人或委托代理人签字：</w:t>
      </w:r>
    </w:p>
    <w:p>
      <w:pPr>
        <w:autoSpaceDE w:val="0"/>
        <w:autoSpaceDN w:val="0"/>
        <w:adjustRightInd w:val="0"/>
        <w:spacing w:line="480" w:lineRule="exact"/>
        <w:ind w:firstLine="5008" w:firstLineChars="2087"/>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年   月   日</w:t>
      </w:r>
    </w:p>
    <w:p>
      <w:pPr>
        <w:autoSpaceDE w:val="0"/>
        <w:autoSpaceDN w:val="0"/>
        <w:adjustRightInd w:val="0"/>
        <w:spacing w:line="480" w:lineRule="exact"/>
        <w:ind w:firstLine="400"/>
        <w:jc w:val="left"/>
        <w:rPr>
          <w:rFonts w:hint="default" w:ascii="宋体" w:hAnsi="宋体" w:cs="宋体"/>
          <w:bCs/>
          <w:kern w:val="0"/>
          <w:sz w:val="24"/>
          <w:lang w:val="en-US" w:eastAsia="zh-CN"/>
        </w:rPr>
      </w:pPr>
    </w:p>
    <w:p>
      <w:pPr>
        <w:autoSpaceDE w:val="0"/>
        <w:autoSpaceDN w:val="0"/>
        <w:adjustRightInd w:val="0"/>
        <w:spacing w:line="480" w:lineRule="exact"/>
        <w:ind w:firstLine="400"/>
        <w:jc w:val="left"/>
        <w:rPr>
          <w:rFonts w:hint="default" w:ascii="宋体" w:hAnsi="宋体" w:cs="宋体"/>
          <w:bCs/>
          <w:kern w:val="0"/>
          <w:sz w:val="24"/>
          <w:lang w:val="en-US" w:eastAsia="zh-CN"/>
        </w:rPr>
      </w:pPr>
    </w:p>
    <w:p>
      <w:pPr>
        <w:autoSpaceDE w:val="0"/>
        <w:autoSpaceDN w:val="0"/>
        <w:adjustRightInd w:val="0"/>
        <w:spacing w:line="480" w:lineRule="exact"/>
        <w:ind w:firstLine="400"/>
        <w:jc w:val="left"/>
        <w:rPr>
          <w:rFonts w:hint="default" w:ascii="宋体" w:hAnsi="宋体" w:cs="宋体"/>
          <w:bCs/>
          <w:kern w:val="0"/>
          <w:sz w:val="24"/>
          <w:lang w:val="en-US" w:eastAsia="zh-CN"/>
        </w:rPr>
      </w:pPr>
    </w:p>
    <w:p>
      <w:pPr>
        <w:autoSpaceDE w:val="0"/>
        <w:autoSpaceDN w:val="0"/>
        <w:adjustRightInd w:val="0"/>
        <w:spacing w:line="480" w:lineRule="exact"/>
        <w:ind w:firstLine="400"/>
        <w:jc w:val="left"/>
        <w:rPr>
          <w:rFonts w:hint="default" w:ascii="宋体" w:hAnsi="宋体" w:cs="宋体"/>
          <w:bCs/>
          <w:kern w:val="0"/>
          <w:sz w:val="24"/>
          <w:lang w:val="en-US" w:eastAsia="zh-CN"/>
        </w:rPr>
      </w:pPr>
    </w:p>
    <w:p>
      <w:pPr>
        <w:autoSpaceDE w:val="0"/>
        <w:autoSpaceDN w:val="0"/>
        <w:adjustRightInd w:val="0"/>
        <w:spacing w:line="480" w:lineRule="exact"/>
        <w:ind w:firstLine="400"/>
        <w:jc w:val="left"/>
        <w:rPr>
          <w:rFonts w:hint="default" w:ascii="宋体" w:hAnsi="宋体" w:cs="宋体"/>
          <w:bCs/>
          <w:kern w:val="0"/>
          <w:sz w:val="24"/>
          <w:lang w:val="en-US" w:eastAsia="zh-CN"/>
        </w:rPr>
      </w:pPr>
    </w:p>
    <w:p>
      <w:pPr>
        <w:autoSpaceDE w:val="0"/>
        <w:autoSpaceDN w:val="0"/>
        <w:adjustRightInd w:val="0"/>
        <w:spacing w:line="480" w:lineRule="exact"/>
        <w:ind w:firstLine="400"/>
        <w:jc w:val="left"/>
        <w:rPr>
          <w:rFonts w:hint="default" w:ascii="宋体" w:hAnsi="宋体" w:cs="宋体"/>
          <w:bCs/>
          <w:kern w:val="0"/>
          <w:sz w:val="24"/>
          <w:lang w:val="en-US" w:eastAsia="zh-CN"/>
        </w:rPr>
      </w:pPr>
    </w:p>
    <w:p>
      <w:pPr>
        <w:autoSpaceDE w:val="0"/>
        <w:autoSpaceDN w:val="0"/>
        <w:adjustRightInd w:val="0"/>
        <w:spacing w:line="480" w:lineRule="exact"/>
        <w:jc w:val="left"/>
        <w:rPr>
          <w:rFonts w:hint="default" w:ascii="宋体" w:hAnsi="宋体" w:cs="宋体"/>
          <w:bCs/>
          <w:kern w:val="0"/>
          <w:sz w:val="24"/>
          <w:lang w:val="en-US" w:eastAsia="zh-CN"/>
        </w:rPr>
      </w:pPr>
    </w:p>
    <w:p>
      <w:pPr>
        <w:pStyle w:val="4"/>
        <w:numPr>
          <w:ilvl w:val="0"/>
          <w:numId w:val="6"/>
        </w:numPr>
        <w:bidi w:val="0"/>
        <w:ind w:left="575" w:leftChars="0" w:hanging="575"/>
        <w:jc w:val="left"/>
        <w:rPr>
          <w:rFonts w:hint="eastAsia"/>
          <w:lang w:val="en-US" w:eastAsia="zh-CN"/>
        </w:rPr>
      </w:pPr>
      <w:bookmarkStart w:id="338" w:name="_Toc14002"/>
      <w:bookmarkStart w:id="339" w:name="_Toc2352"/>
      <w:r>
        <w:rPr>
          <w:rFonts w:hint="eastAsia"/>
          <w:lang w:val="en-US" w:eastAsia="zh-CN"/>
        </w:rPr>
        <w:t>投标人需说明的其他</w:t>
      </w:r>
      <w:bookmarkEnd w:id="297"/>
      <w:bookmarkEnd w:id="298"/>
      <w:bookmarkEnd w:id="299"/>
      <w:bookmarkEnd w:id="300"/>
      <w:bookmarkEnd w:id="301"/>
      <w:bookmarkEnd w:id="302"/>
      <w:r>
        <w:rPr>
          <w:rFonts w:hint="eastAsia"/>
          <w:lang w:val="en-US" w:eastAsia="zh-CN"/>
        </w:rPr>
        <w:t>内容</w:t>
      </w:r>
      <w:bookmarkEnd w:id="338"/>
      <w:bookmarkEnd w:id="339"/>
    </w:p>
    <w:p>
      <w:r>
        <w:rPr>
          <w:rFonts w:hint="eastAsia"/>
        </w:rPr>
        <w:t>（</w:t>
      </w:r>
      <w:r>
        <w:t>1</w:t>
      </w:r>
      <w:r>
        <w:rPr>
          <w:rFonts w:hint="eastAsia"/>
        </w:rPr>
        <w:t>）投标人情况简介；</w:t>
      </w:r>
    </w:p>
    <w:p>
      <w:pPr>
        <w:rPr>
          <w:rFonts w:ascii="宋体"/>
        </w:rPr>
      </w:pPr>
      <w:r>
        <w:rPr>
          <w:rFonts w:hint="eastAsia"/>
        </w:rPr>
        <w:t>（</w:t>
      </w:r>
      <w:r>
        <w:t>2</w:t>
      </w:r>
      <w:r>
        <w:rPr>
          <w:rFonts w:hint="eastAsia"/>
        </w:rPr>
        <w:t>）</w:t>
      </w:r>
      <w:r>
        <w:rPr>
          <w:rFonts w:hint="eastAsia" w:ascii="宋体" w:hAnsi="宋体"/>
        </w:rPr>
        <w:t>除产品报价外所能提供的优惠条件。</w:t>
      </w:r>
    </w:p>
    <w:p>
      <w:pPr>
        <w:rPr>
          <w:rFonts w:ascii="宋体"/>
        </w:rPr>
      </w:pPr>
      <w:r>
        <w:rPr>
          <w:rFonts w:hint="eastAsia" w:ascii="宋体" w:hAnsi="宋体"/>
        </w:rPr>
        <w:t>（</w:t>
      </w:r>
      <w:r>
        <w:rPr>
          <w:rFonts w:ascii="宋体" w:hAnsi="宋体"/>
        </w:rPr>
        <w:t>3</w:t>
      </w:r>
      <w:r>
        <w:rPr>
          <w:rFonts w:hint="eastAsia" w:ascii="宋体" w:hAnsi="宋体"/>
        </w:rPr>
        <w:t>）投标人认为需要说明的其他内容</w:t>
      </w:r>
    </w:p>
    <w:p>
      <w:pPr>
        <w:bidi w:val="0"/>
        <w:rPr>
          <w:rFonts w:hint="eastAsia"/>
        </w:rPr>
      </w:pPr>
    </w:p>
    <w:p>
      <w:pPr>
        <w:bidi w:val="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pStyle w:val="3"/>
        <w:bidi w:val="0"/>
        <w:ind w:left="432" w:leftChars="0" w:hanging="432" w:firstLineChars="0"/>
        <w:jc w:val="center"/>
        <w:rPr>
          <w:rFonts w:hint="eastAsia"/>
        </w:rPr>
      </w:pPr>
      <w:bookmarkStart w:id="340" w:name="_Toc12291"/>
      <w:r>
        <w:rPr>
          <w:rFonts w:hint="eastAsia"/>
        </w:rPr>
        <w:t>第</w:t>
      </w:r>
      <w:r>
        <w:rPr>
          <w:rFonts w:hint="eastAsia"/>
          <w:lang w:val="en-US" w:eastAsia="zh-CN"/>
        </w:rPr>
        <w:t>三</w:t>
      </w:r>
      <w:r>
        <w:rPr>
          <w:rFonts w:hint="eastAsia"/>
        </w:rPr>
        <w:t>章  物资需求一览表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rPr>
        <w:t>（物资采购清单）</w:t>
      </w:r>
      <w:bookmarkEnd w:id="158"/>
      <w:bookmarkEnd w:id="159"/>
      <w:bookmarkEnd w:id="160"/>
      <w:bookmarkEnd w:id="161"/>
      <w:bookmarkEnd w:id="162"/>
      <w:bookmarkEnd w:id="163"/>
      <w:bookmarkEnd w:id="164"/>
      <w:bookmarkEnd w:id="340"/>
      <w:bookmarkStart w:id="341" w:name="_Toc10421"/>
      <w:bookmarkStart w:id="342" w:name="_Toc2828"/>
      <w:bookmarkStart w:id="343" w:name="_Toc1771"/>
      <w:bookmarkStart w:id="344" w:name="_Toc16010"/>
      <w:bookmarkStart w:id="345" w:name="_Toc29186"/>
      <w:bookmarkStart w:id="346" w:name="_Toc20790"/>
      <w:bookmarkStart w:id="347" w:name="_Toc5073"/>
      <w:bookmarkStart w:id="348" w:name="_Toc30981"/>
    </w:p>
    <w:tbl>
      <w:tblPr>
        <w:tblStyle w:val="23"/>
        <w:tblW w:w="7830" w:type="dxa"/>
        <w:jc w:val="center"/>
        <w:tblLayout w:type="fixed"/>
        <w:tblCellMar>
          <w:top w:w="0" w:type="dxa"/>
          <w:left w:w="108" w:type="dxa"/>
          <w:bottom w:w="0" w:type="dxa"/>
          <w:right w:w="108" w:type="dxa"/>
        </w:tblCellMar>
      </w:tblPr>
      <w:tblGrid>
        <w:gridCol w:w="690"/>
        <w:gridCol w:w="2083"/>
        <w:gridCol w:w="1050"/>
        <w:gridCol w:w="967"/>
        <w:gridCol w:w="1316"/>
        <w:gridCol w:w="1724"/>
      </w:tblGrid>
      <w:tr>
        <w:tblPrEx>
          <w:tblCellMar>
            <w:top w:w="0" w:type="dxa"/>
            <w:left w:w="108" w:type="dxa"/>
            <w:bottom w:w="0" w:type="dxa"/>
            <w:right w:w="108" w:type="dxa"/>
          </w:tblCellMar>
        </w:tblPrEx>
        <w:trPr>
          <w:trHeight w:val="52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序号</w:t>
            </w:r>
          </w:p>
        </w:tc>
        <w:tc>
          <w:tcPr>
            <w:tcW w:w="208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清单名称</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hint="eastAsia" w:ascii="宋体" w:hAnsi="宋体" w:cs="Tahoma"/>
                <w:kern w:val="0"/>
                <w:sz w:val="20"/>
                <w:szCs w:val="20"/>
              </w:rPr>
              <w:t>规格型号</w:t>
            </w:r>
          </w:p>
        </w:tc>
        <w:tc>
          <w:tcPr>
            <w:tcW w:w="9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单位</w:t>
            </w:r>
          </w:p>
        </w:tc>
        <w:tc>
          <w:tcPr>
            <w:tcW w:w="13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计划数量</w:t>
            </w:r>
          </w:p>
        </w:tc>
        <w:tc>
          <w:tcPr>
            <w:tcW w:w="172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计划进场时间</w:t>
            </w: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1</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r>
              <w:rPr>
                <w:rFonts w:hint="eastAsia" w:ascii="Tahoma" w:hAnsi="Tahoma" w:cs="Tahoma"/>
                <w:color w:val="000000"/>
                <w:kern w:val="0"/>
                <w:sz w:val="18"/>
                <w:szCs w:val="18"/>
              </w:rPr>
              <w:t>钢材</w:t>
            </w: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r>
              <w:rPr>
                <w:rFonts w:hint="eastAsia" w:ascii="Tahoma" w:hAnsi="Tahoma" w:cs="Tahoma"/>
                <w:color w:val="000000"/>
                <w:kern w:val="0"/>
                <w:sz w:val="18"/>
                <w:szCs w:val="18"/>
              </w:rPr>
              <w:t>吨</w:t>
            </w: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r>
              <w:rPr>
                <w:rFonts w:hint="eastAsia" w:ascii="Tahoma" w:hAnsi="Tahoma" w:cs="Tahoma"/>
                <w:color w:val="000000"/>
                <w:kern w:val="0"/>
                <w:sz w:val="18"/>
                <w:szCs w:val="18"/>
              </w:rPr>
              <w:t>1</w:t>
            </w:r>
            <w:r>
              <w:rPr>
                <w:rFonts w:ascii="Tahoma" w:hAnsi="Tahoma" w:cs="Tahoma"/>
                <w:color w:val="000000"/>
                <w:kern w:val="0"/>
                <w:sz w:val="18"/>
                <w:szCs w:val="18"/>
              </w:rPr>
              <w:t>3000</w:t>
            </w:r>
            <w:r>
              <w:rPr>
                <w:rFonts w:hint="eastAsia" w:ascii="Tahoma" w:hAnsi="Tahoma" w:cs="Tahoma"/>
                <w:color w:val="000000"/>
                <w:kern w:val="0"/>
                <w:sz w:val="18"/>
                <w:szCs w:val="18"/>
              </w:rPr>
              <w:t>吨</w:t>
            </w: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r>
              <w:rPr>
                <w:rFonts w:hint="eastAsia" w:ascii="Tahoma" w:hAnsi="Tahoma" w:cs="Tahoma"/>
                <w:color w:val="000000"/>
                <w:kern w:val="0"/>
                <w:sz w:val="18"/>
                <w:szCs w:val="18"/>
              </w:rPr>
              <w:t>2</w:t>
            </w:r>
            <w:r>
              <w:rPr>
                <w:rFonts w:ascii="Tahoma" w:hAnsi="Tahoma" w:cs="Tahoma"/>
                <w:color w:val="000000"/>
                <w:kern w:val="0"/>
                <w:sz w:val="18"/>
                <w:szCs w:val="18"/>
              </w:rPr>
              <w:t>022</w:t>
            </w:r>
            <w:r>
              <w:rPr>
                <w:rFonts w:hint="eastAsia" w:ascii="Tahoma" w:hAnsi="Tahoma" w:cs="Tahoma"/>
                <w:color w:val="000000"/>
                <w:kern w:val="0"/>
                <w:sz w:val="18"/>
                <w:szCs w:val="18"/>
              </w:rPr>
              <w:t>年7月</w:t>
            </w:r>
            <w:r>
              <w:rPr>
                <w:rFonts w:ascii="Tahoma" w:hAnsi="Tahoma" w:cs="Tahoma"/>
                <w:color w:val="000000"/>
                <w:kern w:val="0"/>
                <w:sz w:val="18"/>
                <w:szCs w:val="18"/>
              </w:rPr>
              <w:t>20</w:t>
            </w:r>
            <w:r>
              <w:rPr>
                <w:rFonts w:hint="eastAsia" w:ascii="Tahoma" w:hAnsi="Tahoma" w:cs="Tahoma"/>
                <w:color w:val="000000"/>
                <w:kern w:val="0"/>
                <w:sz w:val="18"/>
                <w:szCs w:val="18"/>
              </w:rPr>
              <w:t>日</w:t>
            </w: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2</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3</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4</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5</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6</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7</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8</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9</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10</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11</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r>
        <w:tblPrEx>
          <w:tblCellMar>
            <w:top w:w="0" w:type="dxa"/>
            <w:left w:w="108" w:type="dxa"/>
            <w:bottom w:w="0" w:type="dxa"/>
            <w:right w:w="108" w:type="dxa"/>
          </w:tblCellMar>
        </w:tblPrEx>
        <w:trPr>
          <w:trHeight w:val="525"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20"/>
                <w:szCs w:val="20"/>
              </w:rPr>
            </w:pPr>
            <w:r>
              <w:rPr>
                <w:rFonts w:ascii="Tahoma" w:hAnsi="Tahoma" w:cs="Tahoma"/>
                <w:color w:val="000000"/>
                <w:kern w:val="0"/>
                <w:sz w:val="20"/>
                <w:szCs w:val="20"/>
              </w:rPr>
              <w:t>12</w:t>
            </w:r>
          </w:p>
        </w:tc>
        <w:tc>
          <w:tcPr>
            <w:tcW w:w="20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9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c>
          <w:tcPr>
            <w:tcW w:w="172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ahoma" w:hAnsi="Tahoma" w:cs="Tahoma"/>
                <w:color w:val="000000"/>
                <w:kern w:val="0"/>
                <w:sz w:val="18"/>
                <w:szCs w:val="18"/>
              </w:rPr>
            </w:pPr>
          </w:p>
        </w:tc>
      </w:tr>
    </w:tbl>
    <w:p>
      <w:pPr>
        <w:pStyle w:val="5"/>
        <w:numPr>
          <w:ilvl w:val="2"/>
          <w:numId w:val="0"/>
        </w:numPr>
        <w:bidi w:val="0"/>
        <w:ind w:leftChars="0"/>
        <w:rPr>
          <w:rFonts w:hint="default"/>
          <w:color w:val="auto"/>
          <w:lang w:val="en-US" w:eastAsia="zh-CN"/>
        </w:rPr>
      </w:pPr>
      <w:r>
        <w:br w:type="page"/>
      </w:r>
      <w:bookmarkEnd w:id="341"/>
      <w:bookmarkEnd w:id="342"/>
      <w:bookmarkEnd w:id="343"/>
      <w:bookmarkEnd w:id="344"/>
      <w:bookmarkEnd w:id="345"/>
      <w:bookmarkEnd w:id="346"/>
      <w:bookmarkEnd w:id="347"/>
      <w:bookmarkEnd w:id="348"/>
      <w:bookmarkStart w:id="349" w:name="_Toc17573"/>
      <w:bookmarkStart w:id="350" w:name="_Toc10966"/>
      <w:bookmarkStart w:id="351" w:name="_Toc20105"/>
      <w:r>
        <w:rPr>
          <w:rFonts w:hint="eastAsia"/>
          <w:color w:val="auto"/>
          <w:lang w:val="en-US" w:eastAsia="zh-CN"/>
        </w:rPr>
        <w:t>附件一：第一轮报价确认书</w:t>
      </w:r>
      <w:bookmarkEnd w:id="349"/>
      <w:bookmarkEnd w:id="350"/>
    </w:p>
    <w:p>
      <w:pPr>
        <w:pStyle w:val="2"/>
        <w:spacing w:before="3"/>
        <w:rPr>
          <w:b/>
          <w:color w:val="auto"/>
          <w:sz w:val="21"/>
        </w:rPr>
      </w:pPr>
    </w:p>
    <w:p>
      <w:pPr>
        <w:spacing w:line="400" w:lineRule="exact"/>
        <w:jc w:val="both"/>
        <w:rPr>
          <w:b w:val="0"/>
          <w:bCs/>
          <w:color w:val="auto"/>
          <w:sz w:val="28"/>
          <w:szCs w:val="28"/>
        </w:rPr>
      </w:pPr>
      <w:r>
        <w:rPr>
          <w:rFonts w:hint="eastAsia"/>
          <w:b w:val="0"/>
          <w:bCs/>
          <w:color w:val="auto"/>
          <w:sz w:val="28"/>
          <w:szCs w:val="28"/>
          <w:lang w:val="en-US" w:eastAsia="zh-CN"/>
        </w:rPr>
        <w:t xml:space="preserve">   </w:t>
      </w:r>
      <w:r>
        <w:rPr>
          <w:b w:val="0"/>
          <w:bCs/>
          <w:color w:val="auto"/>
          <w:sz w:val="28"/>
          <w:szCs w:val="28"/>
        </w:rPr>
        <w:t>在</w:t>
      </w:r>
      <w:r>
        <w:rPr>
          <w:rFonts w:hint="eastAsia"/>
          <w:b w:val="0"/>
          <w:bCs/>
          <w:color w:val="auto"/>
          <w:sz w:val="28"/>
          <w:szCs w:val="28"/>
          <w:u w:val="single"/>
          <w:lang w:val="en-US" w:eastAsia="zh-CN"/>
        </w:rPr>
        <w:t>贵州建工云富集采有限公司</w:t>
      </w:r>
      <w:r>
        <w:rPr>
          <w:b w:val="0"/>
          <w:bCs/>
          <w:color w:val="auto"/>
          <w:sz w:val="28"/>
          <w:szCs w:val="28"/>
        </w:rPr>
        <w:t>（</w:t>
      </w:r>
      <w:r>
        <w:rPr>
          <w:rFonts w:hint="eastAsia"/>
          <w:b w:val="0"/>
          <w:bCs/>
          <w:color w:val="auto"/>
          <w:sz w:val="28"/>
          <w:szCs w:val="28"/>
          <w:lang w:val="en-US" w:eastAsia="zh-CN"/>
        </w:rPr>
        <w:t>招标文件</w:t>
      </w:r>
      <w:r>
        <w:rPr>
          <w:b w:val="0"/>
          <w:bCs/>
          <w:color w:val="auto"/>
          <w:sz w:val="28"/>
          <w:szCs w:val="28"/>
        </w:rPr>
        <w:t>编号</w:t>
      </w:r>
      <w:r>
        <w:rPr>
          <w:rFonts w:hint="eastAsia"/>
          <w:b w:val="0"/>
          <w:bCs/>
          <w:color w:val="auto"/>
          <w:sz w:val="28"/>
          <w:szCs w:val="28"/>
          <w:u w:val="single"/>
          <w:lang w:val="en-US" w:eastAsia="zh-CN"/>
        </w:rPr>
        <w:t xml:space="preserve"> </w:t>
      </w:r>
      <w:r>
        <w:rPr>
          <w:rFonts w:hint="eastAsia" w:ascii="仿宋_GB2312" w:hAnsi="仿宋_GB2312" w:eastAsia="仿宋_GB2312" w:cs="仿宋_GB2312"/>
          <w:color w:val="FF0000"/>
          <w:sz w:val="22"/>
          <w:szCs w:val="22"/>
          <w:u w:val="single"/>
        </w:rPr>
        <w:t>GC</w:t>
      </w:r>
      <w:r>
        <w:rPr>
          <w:rFonts w:hint="eastAsia" w:ascii="仿宋_GB2312" w:hAnsi="仿宋_GB2312" w:eastAsia="仿宋_GB2312" w:cs="仿宋_GB2312"/>
          <w:color w:val="FF0000"/>
          <w:sz w:val="22"/>
          <w:szCs w:val="22"/>
          <w:u w:val="single"/>
          <w:lang w:val="en-US" w:eastAsia="zh-CN"/>
        </w:rPr>
        <w:t>2022/</w:t>
      </w:r>
      <w:r>
        <w:rPr>
          <w:rFonts w:hint="eastAsia" w:ascii="仿宋_GB2312" w:hAnsi="仿宋_GB2312" w:eastAsia="仿宋_GB2312" w:cs="仿宋_GB2312"/>
          <w:color w:val="FF0000"/>
          <w:sz w:val="22"/>
          <w:szCs w:val="22"/>
          <w:u w:val="single"/>
        </w:rPr>
        <w:t>0</w:t>
      </w:r>
      <w:r>
        <w:rPr>
          <w:rFonts w:hint="eastAsia" w:ascii="仿宋_GB2312" w:hAnsi="仿宋_GB2312" w:eastAsia="仿宋_GB2312" w:cs="仿宋_GB2312"/>
          <w:color w:val="FF0000"/>
          <w:sz w:val="22"/>
          <w:szCs w:val="22"/>
          <w:u w:val="single"/>
          <w:lang w:val="en-US" w:eastAsia="zh-CN"/>
        </w:rPr>
        <w:t>7/21</w:t>
      </w:r>
      <w:r>
        <w:rPr>
          <w:rFonts w:hint="eastAsia" w:ascii="仿宋_GB2312" w:hAnsi="仿宋_GB2312" w:eastAsia="仿宋_GB2312" w:cs="仿宋_GB2312"/>
          <w:color w:val="FF0000"/>
          <w:sz w:val="22"/>
          <w:szCs w:val="22"/>
          <w:u w:val="single"/>
        </w:rPr>
        <w:t>-</w:t>
      </w:r>
      <w:r>
        <w:rPr>
          <w:rFonts w:hint="eastAsia" w:ascii="仿宋_GB2312" w:hAnsi="仿宋_GB2312" w:eastAsia="仿宋_GB2312" w:cs="仿宋_GB2312"/>
          <w:color w:val="FF0000"/>
          <w:sz w:val="22"/>
          <w:szCs w:val="22"/>
          <w:u w:val="single"/>
          <w:lang w:val="en-US" w:eastAsia="zh-CN"/>
        </w:rPr>
        <w:t>01</w:t>
      </w:r>
      <w:r>
        <w:rPr>
          <w:rFonts w:hint="eastAsia"/>
          <w:b w:val="0"/>
          <w:bCs/>
          <w:color w:val="auto"/>
          <w:sz w:val="28"/>
          <w:szCs w:val="28"/>
          <w:u w:val="single"/>
          <w:lang w:val="en-US" w:eastAsia="zh-CN"/>
        </w:rPr>
        <w:t xml:space="preserve"> </w:t>
      </w:r>
      <w:r>
        <w:rPr>
          <w:rFonts w:hint="eastAsia"/>
          <w:b w:val="0"/>
          <w:bCs/>
          <w:color w:val="auto"/>
          <w:sz w:val="28"/>
          <w:szCs w:val="28"/>
          <w:lang w:val="en-US" w:eastAsia="zh-CN"/>
        </w:rPr>
        <w:t>钢材</w:t>
      </w:r>
      <w:r>
        <w:rPr>
          <w:b w:val="0"/>
          <w:bCs/>
          <w:color w:val="auto"/>
          <w:sz w:val="28"/>
          <w:szCs w:val="28"/>
        </w:rPr>
        <w:t>）的竞争性谈判中，（供应商名称</w:t>
      </w:r>
      <w:r>
        <w:rPr>
          <w:rFonts w:hint="eastAsia"/>
          <w:b w:val="0"/>
          <w:bCs/>
          <w:color w:val="auto"/>
          <w:sz w:val="28"/>
          <w:szCs w:val="28"/>
          <w:lang w:eastAsia="zh-CN"/>
        </w:rPr>
        <w:t>：</w:t>
      </w:r>
      <w:r>
        <w:rPr>
          <w:rFonts w:hint="eastAsia"/>
          <w:b w:val="0"/>
          <w:bCs/>
          <w:color w:val="auto"/>
          <w:sz w:val="28"/>
          <w:szCs w:val="28"/>
          <w:u w:val="single"/>
          <w:lang w:val="en-US" w:eastAsia="zh-CN"/>
        </w:rPr>
        <w:t xml:space="preserve">                        </w:t>
      </w:r>
      <w:r>
        <w:rPr>
          <w:b w:val="0"/>
          <w:bCs/>
          <w:color w:val="auto"/>
          <w:sz w:val="28"/>
          <w:szCs w:val="28"/>
        </w:rPr>
        <w:t>）经审慎决策，首次报价如下:</w:t>
      </w:r>
    </w:p>
    <w:tbl>
      <w:tblPr>
        <w:tblStyle w:val="23"/>
        <w:tblW w:w="852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0" w:hRule="atLeast"/>
        </w:trPr>
        <w:tc>
          <w:tcPr>
            <w:tcW w:w="8528" w:type="dxa"/>
            <w:gridSpan w:val="2"/>
          </w:tcPr>
          <w:p>
            <w:pPr>
              <w:spacing w:line="300" w:lineRule="exact"/>
              <w:rPr>
                <w:rFonts w:hint="eastAsia" w:ascii="楷体_GB2312" w:hAnsi="宋体" w:eastAsia="楷体_GB2312"/>
                <w:b/>
                <w:bCs/>
                <w:color w:val="auto"/>
                <w:szCs w:val="21"/>
                <w:lang w:val="en-US" w:eastAsia="zh-CN"/>
              </w:rPr>
            </w:pPr>
            <w:r>
              <w:rPr>
                <w:rFonts w:hint="eastAsia" w:ascii="楷体_GB2312" w:hAnsi="宋体" w:eastAsia="楷体_GB2312"/>
                <w:b/>
                <w:bCs/>
                <w:color w:val="auto"/>
                <w:szCs w:val="21"/>
                <w:lang w:val="en-US" w:eastAsia="zh-CN"/>
              </w:rPr>
              <w:t>月结模式：</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以过磅计量的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     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以理论计量的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每月25-28号进行结算，次月15日付款，超出付款期限按年息</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%计算违约金。</w:t>
            </w:r>
          </w:p>
          <w:p>
            <w:pPr>
              <w:spacing w:line="300" w:lineRule="exact"/>
              <w:rPr>
                <w:rFonts w:hint="eastAsia" w:ascii="楷体_GB2312" w:hAnsi="宋体" w:eastAsia="楷体_GB2312"/>
                <w:b/>
                <w:bCs/>
                <w:color w:val="auto"/>
                <w:szCs w:val="21"/>
                <w:lang w:val="en-US" w:eastAsia="zh-CN"/>
              </w:rPr>
            </w:pPr>
            <w:r>
              <w:rPr>
                <w:rFonts w:hint="eastAsia" w:ascii="楷体_GB2312" w:hAnsi="宋体" w:eastAsia="楷体_GB2312"/>
                <w:b/>
                <w:bCs/>
                <w:color w:val="auto"/>
                <w:szCs w:val="21"/>
                <w:lang w:val="en-US" w:eastAsia="zh-CN"/>
              </w:rPr>
              <w:t>预付模式：</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以过磅计量的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以理论计量的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rPr>
                <w:rFonts w:hint="eastAsia" w:ascii="楷体_GB2312" w:hAnsi="宋体" w:eastAsia="楷体_GB2312"/>
                <w:b/>
                <w:bCs/>
                <w:color w:val="auto"/>
                <w:szCs w:val="21"/>
                <w:lang w:val="en-US" w:eastAsia="zh-CN"/>
              </w:rPr>
            </w:pPr>
            <w:r>
              <w:rPr>
                <w:rFonts w:hint="eastAsia" w:ascii="楷体_GB2312" w:hAnsi="宋体" w:eastAsia="楷体_GB2312"/>
                <w:b/>
                <w:bCs/>
                <w:color w:val="auto"/>
                <w:szCs w:val="21"/>
                <w:lang w:val="en-US" w:eastAsia="zh-CN"/>
              </w:rPr>
              <w:t>垫资模式：</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垫资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天（</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个月），每月25-28号进行对账，对账后</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个自然日付清所有款项，</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若到期付款限内贵公司未能付清所有款项，则超出付款期限按年息</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%计算资违约金，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所送产品结算方式按照《我的钢铁网》上贵阳地区出货当日第一次发布的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w:t>
            </w:r>
          </w:p>
          <w:p>
            <w:pPr>
              <w:spacing w:line="300" w:lineRule="exact"/>
              <w:ind w:firstLine="420" w:firstLineChars="200"/>
              <w:rPr>
                <w:rFonts w:hint="eastAsia" w:ascii="楷体_GB2312" w:hAnsi="宋体" w:eastAsia="楷体_GB2312"/>
                <w:color w:val="auto"/>
                <w:szCs w:val="21"/>
              </w:rPr>
            </w:pPr>
            <w:r>
              <w:rPr>
                <w:rFonts w:hint="eastAsia" w:ascii="楷体_GB2312" w:hAnsi="宋体" w:eastAsia="楷体_GB2312"/>
                <w:color w:val="auto"/>
                <w:szCs w:val="21"/>
                <w:lang w:val="en-US" w:eastAsia="zh-CN"/>
              </w:rPr>
              <w:t xml:space="preserve">网价 </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元/吨结算。</w:t>
            </w:r>
          </w:p>
          <w:p>
            <w:pPr>
              <w:spacing w:line="300" w:lineRule="exact"/>
              <w:ind w:firstLine="420" w:firstLineChars="200"/>
              <w:rPr>
                <w:rFonts w:hint="eastAsia" w:ascii="楷体_GB2312" w:hAnsi="宋体" w:eastAsia="楷体_GB2312"/>
                <w:color w:val="auto"/>
                <w:szCs w:val="21"/>
                <w:lang w:val="en-US" w:eastAsia="zh-CN"/>
              </w:rPr>
            </w:pP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乙方应于甲方每次支付合同价款（货款、运吊费、贴息费、违约金）的同时，采用一票制</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向甲方开具相应额的合法有效增值税专用发票（税率为13%）和收款手续。</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从送货之日起，最长欠款期为</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日历天，最大欠款金额为</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万元，如甲方未按期付款，乙方有权停止供货。</w:t>
            </w:r>
          </w:p>
          <w:p>
            <w:pPr>
              <w:pStyle w:val="47"/>
              <w:tabs>
                <w:tab w:val="left" w:pos="6407"/>
              </w:tabs>
              <w:spacing w:before="2"/>
              <w:rPr>
                <w:rFonts w:hint="eastAsia" w:eastAsia="仿宋"/>
                <w:sz w:val="28"/>
                <w:lang w:eastAsia="zh-CN"/>
              </w:rPr>
            </w:pPr>
            <w:r>
              <w:rPr>
                <w:rFonts w:hint="eastAsia" w:ascii="楷体_GB2312" w:hAnsi="宋体" w:eastAsia="楷体_GB2312" w:cs="Times New Roman"/>
                <w:b/>
                <w:bCs/>
                <w:color w:val="FF0000"/>
                <w:kern w:val="2"/>
                <w:sz w:val="21"/>
                <w:szCs w:val="21"/>
                <w:lang w:val="en-US" w:eastAsia="zh-CN" w:bidi="ar-SA"/>
              </w:rPr>
              <w:t>（备注：以上报价包含运输费用综合报价，直条理论计量，盘圆、盘螺过磅计量。）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4516" w:type="dxa"/>
          </w:tcPr>
          <w:p>
            <w:pPr>
              <w:pStyle w:val="47"/>
              <w:spacing w:before="42"/>
              <w:ind w:left="107"/>
              <w:rPr>
                <w:sz w:val="28"/>
              </w:rPr>
            </w:pPr>
            <w:r>
              <w:rPr>
                <w:rFonts w:hint="eastAsia" w:ascii="楷体_GB2312" w:hAnsi="宋体" w:eastAsia="楷体_GB2312" w:cs="Times New Roman"/>
                <w:color w:val="auto"/>
                <w:kern w:val="2"/>
                <w:sz w:val="21"/>
                <w:szCs w:val="21"/>
                <w:lang w:val="zh-CN" w:eastAsia="zh-CN" w:bidi="ar-SA"/>
              </w:rPr>
              <w:t>（供应商名称）代表签字：</w:t>
            </w:r>
          </w:p>
        </w:tc>
        <w:tc>
          <w:tcPr>
            <w:tcW w:w="4012" w:type="dxa"/>
          </w:tcPr>
          <w:p>
            <w:pPr>
              <w:pStyle w:val="47"/>
              <w:spacing w:before="5"/>
              <w:rPr>
                <w:sz w:val="36"/>
              </w:rPr>
            </w:pPr>
          </w:p>
          <w:p>
            <w:pPr>
              <w:pStyle w:val="47"/>
              <w:tabs>
                <w:tab w:val="left" w:pos="1456"/>
                <w:tab w:val="left" w:pos="2157"/>
                <w:tab w:val="left" w:pos="2855"/>
                <w:tab w:val="left" w:pos="3556"/>
                <w:tab w:val="left" w:pos="4257"/>
              </w:tabs>
              <w:ind w:left="196"/>
              <w:rPr>
                <w:sz w:val="28"/>
              </w:rPr>
            </w:pPr>
            <w:r>
              <w:rPr>
                <w:rFonts w:hint="eastAsia" w:ascii="楷体_GB2312" w:hAnsi="宋体" w:eastAsia="楷体_GB2312" w:cs="Times New Roman"/>
                <w:color w:val="auto"/>
                <w:kern w:val="2"/>
                <w:sz w:val="21"/>
                <w:szCs w:val="21"/>
                <w:lang w:val="zh-CN" w:eastAsia="zh-CN" w:bidi="ar-SA"/>
              </w:rPr>
              <w:t xml:space="preserve">时间： </w:t>
            </w:r>
            <w:r>
              <w:rPr>
                <w:rFonts w:hint="eastAsia" w:ascii="楷体_GB2312" w:hAnsi="宋体" w:eastAsia="楷体_GB2312" w:cs="Times New Roman"/>
                <w:color w:val="auto"/>
                <w:kern w:val="2"/>
                <w:sz w:val="21"/>
                <w:szCs w:val="21"/>
                <w:lang w:val="zh-CN" w:eastAsia="zh-CN" w:bidi="ar-SA"/>
              </w:rPr>
              <w:tab/>
            </w:r>
            <w:r>
              <w:rPr>
                <w:rFonts w:hint="eastAsia" w:ascii="楷体_GB2312" w:hAnsi="宋体" w:eastAsia="楷体_GB2312" w:cs="Times New Roman"/>
                <w:color w:val="auto"/>
                <w:kern w:val="2"/>
                <w:sz w:val="21"/>
                <w:szCs w:val="21"/>
                <w:lang w:val="zh-CN" w:eastAsia="zh-CN" w:bidi="ar-SA"/>
              </w:rPr>
              <w:t xml:space="preserve">年 </w:t>
            </w:r>
            <w:r>
              <w:rPr>
                <w:rFonts w:hint="eastAsia" w:ascii="楷体_GB2312" w:hAnsi="宋体" w:eastAsia="楷体_GB2312" w:cs="Times New Roman"/>
                <w:color w:val="auto"/>
                <w:kern w:val="2"/>
                <w:sz w:val="21"/>
                <w:szCs w:val="21"/>
                <w:lang w:val="zh-CN" w:eastAsia="zh-CN" w:bidi="ar-SA"/>
              </w:rPr>
              <w:tab/>
            </w:r>
            <w:r>
              <w:rPr>
                <w:rFonts w:hint="eastAsia" w:ascii="楷体_GB2312" w:hAnsi="宋体" w:eastAsia="楷体_GB2312" w:cs="Times New Roman"/>
                <w:color w:val="auto"/>
                <w:kern w:val="2"/>
                <w:sz w:val="21"/>
                <w:szCs w:val="21"/>
                <w:lang w:val="zh-CN" w:eastAsia="zh-CN" w:bidi="ar-SA"/>
              </w:rPr>
              <w:t xml:space="preserve">月 </w:t>
            </w:r>
            <w:r>
              <w:rPr>
                <w:rFonts w:hint="eastAsia" w:ascii="楷体_GB2312" w:hAnsi="宋体" w:eastAsia="楷体_GB2312" w:cs="Times New Roman"/>
                <w:color w:val="auto"/>
                <w:kern w:val="2"/>
                <w:sz w:val="21"/>
                <w:szCs w:val="21"/>
                <w:lang w:val="zh-CN" w:eastAsia="zh-CN" w:bidi="ar-SA"/>
              </w:rPr>
              <w:tab/>
            </w:r>
            <w:r>
              <w:rPr>
                <w:rFonts w:hint="eastAsia" w:ascii="楷体_GB2312" w:hAnsi="宋体" w:eastAsia="楷体_GB2312" w:cs="Times New Roman"/>
                <w:color w:val="auto"/>
                <w:kern w:val="2"/>
                <w:sz w:val="21"/>
                <w:szCs w:val="21"/>
                <w:lang w:val="zh-CN" w:eastAsia="zh-CN" w:bidi="ar-SA"/>
              </w:rPr>
              <w:t xml:space="preserve">日 </w:t>
            </w:r>
          </w:p>
        </w:tc>
      </w:tr>
    </w:tbl>
    <w:p>
      <w:pPr>
        <w:pStyle w:val="2"/>
      </w:pPr>
    </w:p>
    <w:p>
      <w:pPr>
        <w:pStyle w:val="5"/>
        <w:numPr>
          <w:ilvl w:val="2"/>
          <w:numId w:val="0"/>
        </w:numPr>
        <w:bidi w:val="0"/>
        <w:ind w:leftChars="0"/>
        <w:rPr>
          <w:rFonts w:hint="default"/>
          <w:color w:val="auto"/>
          <w:lang w:val="en-US" w:eastAsia="zh-CN"/>
        </w:rPr>
      </w:pPr>
      <w:bookmarkStart w:id="352" w:name="_Toc31690"/>
      <w:bookmarkStart w:id="353" w:name="_Toc7273"/>
      <w:r>
        <w:rPr>
          <w:rFonts w:hint="eastAsia"/>
          <w:color w:val="auto"/>
          <w:lang w:val="en-US" w:eastAsia="zh-CN"/>
        </w:rPr>
        <w:t>附件二：第二轮终审定价确认书</w:t>
      </w:r>
      <w:bookmarkEnd w:id="352"/>
      <w:bookmarkEnd w:id="353"/>
    </w:p>
    <w:p>
      <w:pPr>
        <w:pStyle w:val="2"/>
        <w:spacing w:before="3"/>
        <w:rPr>
          <w:b/>
          <w:color w:val="auto"/>
          <w:sz w:val="21"/>
        </w:rPr>
      </w:pPr>
    </w:p>
    <w:p>
      <w:pPr>
        <w:spacing w:line="400" w:lineRule="exact"/>
        <w:ind w:firstLine="560" w:firstLineChars="200"/>
        <w:jc w:val="both"/>
        <w:rPr>
          <w:b w:val="0"/>
          <w:bCs/>
          <w:color w:val="auto"/>
          <w:sz w:val="28"/>
          <w:szCs w:val="28"/>
        </w:rPr>
      </w:pPr>
      <w:r>
        <w:rPr>
          <w:b w:val="0"/>
          <w:bCs/>
          <w:color w:val="auto"/>
          <w:sz w:val="28"/>
          <w:szCs w:val="28"/>
        </w:rPr>
        <w:t>在</w:t>
      </w:r>
      <w:r>
        <w:rPr>
          <w:rFonts w:hint="eastAsia"/>
          <w:b w:val="0"/>
          <w:bCs/>
          <w:color w:val="auto"/>
          <w:sz w:val="28"/>
          <w:szCs w:val="28"/>
          <w:u w:val="single"/>
          <w:lang w:val="en-US" w:eastAsia="zh-CN"/>
        </w:rPr>
        <w:t>贵州建工云富集采有限公司</w:t>
      </w:r>
      <w:r>
        <w:rPr>
          <w:b w:val="0"/>
          <w:bCs/>
          <w:color w:val="auto"/>
          <w:sz w:val="28"/>
          <w:szCs w:val="28"/>
        </w:rPr>
        <w:t>（</w:t>
      </w:r>
      <w:r>
        <w:rPr>
          <w:rFonts w:hint="eastAsia"/>
          <w:b w:val="0"/>
          <w:bCs/>
          <w:color w:val="auto"/>
          <w:sz w:val="28"/>
          <w:szCs w:val="28"/>
          <w:lang w:val="en-US" w:eastAsia="zh-CN"/>
        </w:rPr>
        <w:t>招标文件</w:t>
      </w:r>
      <w:r>
        <w:rPr>
          <w:b w:val="0"/>
          <w:bCs/>
          <w:color w:val="auto"/>
          <w:sz w:val="28"/>
          <w:szCs w:val="28"/>
        </w:rPr>
        <w:t>编号</w:t>
      </w:r>
      <w:r>
        <w:rPr>
          <w:rFonts w:hint="eastAsia"/>
          <w:b w:val="0"/>
          <w:bCs/>
          <w:color w:val="auto"/>
          <w:sz w:val="28"/>
          <w:szCs w:val="28"/>
          <w:u w:val="single"/>
          <w:lang w:val="en-US" w:eastAsia="zh-CN"/>
        </w:rPr>
        <w:t xml:space="preserve"> </w:t>
      </w:r>
      <w:r>
        <w:rPr>
          <w:rFonts w:hint="eastAsia" w:ascii="仿宋_GB2312" w:hAnsi="仿宋_GB2312" w:eastAsia="仿宋_GB2312" w:cs="仿宋_GB2312"/>
          <w:color w:val="FF0000"/>
          <w:sz w:val="22"/>
          <w:szCs w:val="22"/>
          <w:u w:val="single"/>
        </w:rPr>
        <w:t>GC</w:t>
      </w:r>
      <w:r>
        <w:rPr>
          <w:rFonts w:hint="eastAsia" w:ascii="仿宋_GB2312" w:hAnsi="仿宋_GB2312" w:eastAsia="仿宋_GB2312" w:cs="仿宋_GB2312"/>
          <w:color w:val="FF0000"/>
          <w:sz w:val="22"/>
          <w:szCs w:val="22"/>
          <w:u w:val="single"/>
          <w:lang w:val="en-US" w:eastAsia="zh-CN"/>
        </w:rPr>
        <w:t>2022/</w:t>
      </w:r>
      <w:r>
        <w:rPr>
          <w:rFonts w:hint="eastAsia" w:ascii="仿宋_GB2312" w:hAnsi="仿宋_GB2312" w:eastAsia="仿宋_GB2312" w:cs="仿宋_GB2312"/>
          <w:color w:val="FF0000"/>
          <w:sz w:val="22"/>
          <w:szCs w:val="22"/>
          <w:u w:val="single"/>
        </w:rPr>
        <w:t>0</w:t>
      </w:r>
      <w:r>
        <w:rPr>
          <w:rFonts w:hint="eastAsia" w:ascii="仿宋_GB2312" w:hAnsi="仿宋_GB2312" w:eastAsia="仿宋_GB2312" w:cs="仿宋_GB2312"/>
          <w:color w:val="FF0000"/>
          <w:sz w:val="22"/>
          <w:szCs w:val="22"/>
          <w:u w:val="single"/>
          <w:lang w:val="en-US" w:eastAsia="zh-CN"/>
        </w:rPr>
        <w:t>7/21</w:t>
      </w:r>
      <w:r>
        <w:rPr>
          <w:rFonts w:hint="eastAsia" w:ascii="仿宋_GB2312" w:hAnsi="仿宋_GB2312" w:eastAsia="仿宋_GB2312" w:cs="仿宋_GB2312"/>
          <w:color w:val="FF0000"/>
          <w:sz w:val="22"/>
          <w:szCs w:val="22"/>
          <w:u w:val="single"/>
        </w:rPr>
        <w:t>-</w:t>
      </w:r>
      <w:r>
        <w:rPr>
          <w:rFonts w:hint="eastAsia" w:ascii="仿宋_GB2312" w:hAnsi="仿宋_GB2312" w:eastAsia="仿宋_GB2312" w:cs="仿宋_GB2312"/>
          <w:color w:val="FF0000"/>
          <w:sz w:val="22"/>
          <w:szCs w:val="22"/>
          <w:u w:val="single"/>
          <w:lang w:val="en-US" w:eastAsia="zh-CN"/>
        </w:rPr>
        <w:t>01</w:t>
      </w:r>
      <w:r>
        <w:rPr>
          <w:rFonts w:hint="eastAsia"/>
          <w:b w:val="0"/>
          <w:bCs/>
          <w:color w:val="auto"/>
          <w:sz w:val="28"/>
          <w:szCs w:val="28"/>
          <w:u w:val="single"/>
          <w:lang w:val="en-US" w:eastAsia="zh-CN"/>
        </w:rPr>
        <w:t xml:space="preserve"> </w:t>
      </w:r>
      <w:r>
        <w:rPr>
          <w:rFonts w:hint="eastAsia"/>
          <w:b w:val="0"/>
          <w:bCs/>
          <w:color w:val="auto"/>
          <w:sz w:val="28"/>
          <w:szCs w:val="28"/>
          <w:lang w:val="en-US" w:eastAsia="zh-CN"/>
        </w:rPr>
        <w:t>钢材</w:t>
      </w:r>
      <w:r>
        <w:rPr>
          <w:b w:val="0"/>
          <w:bCs/>
          <w:color w:val="auto"/>
          <w:sz w:val="28"/>
          <w:szCs w:val="28"/>
        </w:rPr>
        <w:t>）的竞争性谈判中，（供应商名称</w:t>
      </w:r>
      <w:r>
        <w:rPr>
          <w:rFonts w:hint="eastAsia"/>
          <w:b w:val="0"/>
          <w:bCs/>
          <w:color w:val="auto"/>
          <w:sz w:val="28"/>
          <w:szCs w:val="28"/>
          <w:lang w:eastAsia="zh-CN"/>
        </w:rPr>
        <w:t>：</w:t>
      </w:r>
      <w:r>
        <w:rPr>
          <w:rFonts w:hint="eastAsia"/>
          <w:b w:val="0"/>
          <w:bCs/>
          <w:color w:val="auto"/>
          <w:sz w:val="28"/>
          <w:szCs w:val="28"/>
          <w:u w:val="single"/>
          <w:lang w:val="en-US" w:eastAsia="zh-CN"/>
        </w:rPr>
        <w:t xml:space="preserve">                        </w:t>
      </w:r>
      <w:r>
        <w:rPr>
          <w:b w:val="0"/>
          <w:bCs/>
          <w:color w:val="auto"/>
          <w:sz w:val="28"/>
          <w:szCs w:val="28"/>
        </w:rPr>
        <w:t>）</w:t>
      </w:r>
      <w:r>
        <w:rPr>
          <w:rFonts w:hint="eastAsia"/>
          <w:b w:val="0"/>
          <w:bCs/>
          <w:color w:val="auto"/>
          <w:sz w:val="28"/>
          <w:szCs w:val="28"/>
          <w:lang w:val="en-US" w:eastAsia="zh-CN"/>
        </w:rPr>
        <w:t>经审慎决策，终审报价如下:</w:t>
      </w:r>
    </w:p>
    <w:tbl>
      <w:tblPr>
        <w:tblStyle w:val="23"/>
        <w:tblW w:w="852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0" w:hRule="atLeast"/>
        </w:trPr>
        <w:tc>
          <w:tcPr>
            <w:tcW w:w="8528" w:type="dxa"/>
            <w:gridSpan w:val="2"/>
          </w:tcPr>
          <w:p>
            <w:pPr>
              <w:spacing w:line="300" w:lineRule="exact"/>
              <w:rPr>
                <w:rFonts w:hint="eastAsia" w:ascii="楷体_GB2312" w:hAnsi="宋体" w:eastAsia="楷体_GB2312"/>
                <w:b/>
                <w:bCs/>
                <w:color w:val="auto"/>
                <w:szCs w:val="21"/>
                <w:lang w:val="en-US" w:eastAsia="zh-CN"/>
              </w:rPr>
            </w:pPr>
            <w:r>
              <w:rPr>
                <w:rFonts w:hint="eastAsia" w:ascii="楷体_GB2312" w:hAnsi="宋体" w:eastAsia="楷体_GB2312"/>
                <w:b/>
                <w:bCs/>
                <w:color w:val="auto"/>
                <w:szCs w:val="21"/>
                <w:lang w:val="en-US" w:eastAsia="zh-CN"/>
              </w:rPr>
              <w:t>月结模式：</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以过磅计量的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     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以理论计量的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每月25-28号进行结算，次月15日付款，超出付款期限按年息</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%计算违约金。</w:t>
            </w:r>
          </w:p>
          <w:p>
            <w:pPr>
              <w:spacing w:line="300" w:lineRule="exact"/>
              <w:rPr>
                <w:rFonts w:hint="eastAsia" w:ascii="楷体_GB2312" w:hAnsi="宋体" w:eastAsia="楷体_GB2312"/>
                <w:b/>
                <w:bCs/>
                <w:color w:val="auto"/>
                <w:szCs w:val="21"/>
                <w:lang w:val="en-US" w:eastAsia="zh-CN"/>
              </w:rPr>
            </w:pPr>
            <w:r>
              <w:rPr>
                <w:rFonts w:hint="eastAsia" w:ascii="楷体_GB2312" w:hAnsi="宋体" w:eastAsia="楷体_GB2312"/>
                <w:b/>
                <w:bCs/>
                <w:color w:val="auto"/>
                <w:szCs w:val="21"/>
                <w:lang w:val="en-US" w:eastAsia="zh-CN"/>
              </w:rPr>
              <w:t>预付模式：</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以过磅计量的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ind w:firstLine="422" w:firstLineChars="200"/>
              <w:rPr>
                <w:rFonts w:hint="eastAsia" w:ascii="楷体_GB2312" w:hAnsi="宋体" w:eastAsia="楷体_GB2312"/>
                <w:color w:val="auto"/>
                <w:szCs w:val="21"/>
                <w:lang w:val="en-US" w:eastAsia="zh-CN"/>
              </w:rPr>
            </w:pPr>
            <w:r>
              <w:rPr>
                <w:rFonts w:hint="eastAsia" w:ascii="楷体_GB2312" w:hAnsi="宋体" w:eastAsia="楷体_GB2312"/>
                <w:b/>
                <w:bCs/>
                <w:color w:val="auto"/>
                <w:szCs w:val="21"/>
                <w:lang w:val="en-US" w:eastAsia="zh-CN"/>
              </w:rPr>
              <w:t>以理论计量的</w:t>
            </w:r>
            <w:r>
              <w:rPr>
                <w:rFonts w:hint="eastAsia" w:ascii="楷体_GB2312" w:hAnsi="宋体" w:eastAsia="楷体_GB2312"/>
                <w:color w:val="auto"/>
                <w:szCs w:val="21"/>
                <w:lang w:val="en-US" w:eastAsia="zh-CN"/>
              </w:rPr>
              <w:t xml:space="preserve">，按照《我的钢铁网》上贵阳地区出货当日第一次发布的对应钢材品牌网价 </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元/吨为结算依据。没有网价的品牌以《我的钢铁网》上贵阳地区出货当日第一次发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钢材品牌网价</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元/吨为结算依据。</w:t>
            </w:r>
          </w:p>
          <w:p>
            <w:pPr>
              <w:spacing w:line="300" w:lineRule="exact"/>
              <w:rPr>
                <w:rFonts w:hint="eastAsia" w:ascii="楷体_GB2312" w:hAnsi="宋体" w:eastAsia="楷体_GB2312"/>
                <w:b/>
                <w:bCs/>
                <w:color w:val="auto"/>
                <w:szCs w:val="21"/>
                <w:lang w:val="en-US" w:eastAsia="zh-CN"/>
              </w:rPr>
            </w:pPr>
            <w:r>
              <w:rPr>
                <w:rFonts w:hint="eastAsia" w:ascii="楷体_GB2312" w:hAnsi="宋体" w:eastAsia="楷体_GB2312"/>
                <w:b/>
                <w:bCs/>
                <w:color w:val="auto"/>
                <w:szCs w:val="21"/>
                <w:lang w:val="en-US" w:eastAsia="zh-CN"/>
              </w:rPr>
              <w:t>垫资模式：</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垫资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天（</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个月），每月25-28号进行对账，对账后</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个自然日付清所有款项，</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若到期付款限内贵公司未能付清所有款项，则超出付款期限按年息</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%计算资违约金，</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所送产品结算方式按照《我的钢铁网》上贵阳地区出货当日第一次发布的</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钢材品牌</w:t>
            </w:r>
          </w:p>
          <w:p>
            <w:pPr>
              <w:spacing w:line="300" w:lineRule="exact"/>
              <w:ind w:firstLine="420" w:firstLineChars="200"/>
              <w:rPr>
                <w:rFonts w:hint="eastAsia" w:ascii="楷体_GB2312" w:hAnsi="宋体" w:eastAsia="楷体_GB2312"/>
                <w:color w:val="auto"/>
                <w:szCs w:val="21"/>
              </w:rPr>
            </w:pPr>
            <w:r>
              <w:rPr>
                <w:rFonts w:hint="eastAsia" w:ascii="楷体_GB2312" w:hAnsi="宋体" w:eastAsia="楷体_GB2312"/>
                <w:color w:val="auto"/>
                <w:szCs w:val="21"/>
                <w:lang w:val="en-US" w:eastAsia="zh-CN"/>
              </w:rPr>
              <w:t xml:space="preserve">网价 </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元/吨结算。</w:t>
            </w:r>
          </w:p>
          <w:p>
            <w:pPr>
              <w:spacing w:line="300" w:lineRule="exact"/>
              <w:ind w:firstLine="420" w:firstLineChars="200"/>
              <w:rPr>
                <w:rFonts w:hint="eastAsia" w:ascii="楷体_GB2312" w:hAnsi="宋体" w:eastAsia="楷体_GB2312"/>
                <w:color w:val="auto"/>
                <w:szCs w:val="21"/>
                <w:lang w:val="en-US" w:eastAsia="zh-CN"/>
              </w:rPr>
            </w:pP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乙方应于甲方每次支付合同价款（货款、运吊费、贴息费、违约金）的同时，采用一票制</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向甲方开具相应额的合法有效增值税专用发票（税率为13%）和收款手续。</w:t>
            </w:r>
          </w:p>
          <w:p>
            <w:pPr>
              <w:spacing w:line="300" w:lineRule="exact"/>
              <w:ind w:firstLine="420" w:firstLineChars="200"/>
              <w:rPr>
                <w:rFonts w:hint="eastAsia" w:ascii="楷体_GB2312" w:hAnsi="宋体" w:eastAsia="楷体_GB2312"/>
                <w:color w:val="auto"/>
                <w:szCs w:val="21"/>
                <w:lang w:val="en-US" w:eastAsia="zh-CN"/>
              </w:rPr>
            </w:pPr>
            <w:r>
              <w:rPr>
                <w:rFonts w:hint="eastAsia" w:ascii="楷体_GB2312" w:hAnsi="宋体" w:eastAsia="楷体_GB2312"/>
                <w:color w:val="auto"/>
                <w:szCs w:val="21"/>
                <w:lang w:val="en-US" w:eastAsia="zh-CN"/>
              </w:rPr>
              <w:t>从送货之日起，最长欠款期为</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日历天，最大欠款金额为</w:t>
            </w:r>
            <w:r>
              <w:rPr>
                <w:rFonts w:hint="eastAsia" w:ascii="楷体_GB2312" w:hAnsi="宋体" w:eastAsia="楷体_GB2312"/>
                <w:color w:val="auto"/>
                <w:szCs w:val="21"/>
                <w:u w:val="single"/>
                <w:lang w:val="en-US" w:eastAsia="zh-CN"/>
              </w:rPr>
              <w:t xml:space="preserve">       </w:t>
            </w:r>
            <w:r>
              <w:rPr>
                <w:rFonts w:hint="eastAsia" w:ascii="楷体_GB2312" w:hAnsi="宋体" w:eastAsia="楷体_GB2312"/>
                <w:color w:val="auto"/>
                <w:szCs w:val="21"/>
                <w:lang w:val="en-US" w:eastAsia="zh-CN"/>
              </w:rPr>
              <w:t>万元，如甲方未按期付款，乙方有权停止供货。</w:t>
            </w:r>
          </w:p>
          <w:p>
            <w:pPr>
              <w:pStyle w:val="47"/>
              <w:tabs>
                <w:tab w:val="left" w:pos="6407"/>
              </w:tabs>
              <w:spacing w:before="2"/>
              <w:rPr>
                <w:rFonts w:hint="default" w:eastAsia="仿宋"/>
                <w:sz w:val="28"/>
                <w:lang w:val="en-US" w:eastAsia="zh-CN"/>
              </w:rPr>
            </w:pPr>
            <w:r>
              <w:rPr>
                <w:rFonts w:hint="eastAsia" w:ascii="楷体_GB2312" w:hAnsi="宋体" w:eastAsia="楷体_GB2312" w:cs="Times New Roman"/>
                <w:b/>
                <w:bCs/>
                <w:color w:val="FF0000"/>
                <w:kern w:val="2"/>
                <w:sz w:val="21"/>
                <w:szCs w:val="21"/>
                <w:lang w:val="en-US" w:eastAsia="zh-CN" w:bidi="ar-SA"/>
              </w:rPr>
              <w:t>（备注：以上报价包含运输费用综合报价，直条理论计量，盘圆、盘螺过磅计量。）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4516" w:type="dxa"/>
          </w:tcPr>
          <w:p>
            <w:pPr>
              <w:pStyle w:val="47"/>
              <w:spacing w:before="42"/>
              <w:ind w:left="107"/>
              <w:rPr>
                <w:sz w:val="28"/>
              </w:rPr>
            </w:pPr>
            <w:r>
              <w:rPr>
                <w:rFonts w:hint="eastAsia" w:ascii="楷体_GB2312" w:hAnsi="宋体" w:eastAsia="楷体_GB2312" w:cs="Times New Roman"/>
                <w:color w:val="auto"/>
                <w:kern w:val="2"/>
                <w:sz w:val="21"/>
                <w:szCs w:val="21"/>
                <w:lang w:val="zh-CN" w:eastAsia="zh-CN" w:bidi="ar-SA"/>
              </w:rPr>
              <w:t>（供应商名称）代表签字：</w:t>
            </w:r>
          </w:p>
        </w:tc>
        <w:tc>
          <w:tcPr>
            <w:tcW w:w="4012" w:type="dxa"/>
          </w:tcPr>
          <w:p>
            <w:pPr>
              <w:pStyle w:val="47"/>
              <w:spacing w:before="5"/>
              <w:rPr>
                <w:sz w:val="36"/>
              </w:rPr>
            </w:pPr>
          </w:p>
          <w:p>
            <w:pPr>
              <w:pStyle w:val="47"/>
              <w:tabs>
                <w:tab w:val="left" w:pos="1456"/>
                <w:tab w:val="left" w:pos="2157"/>
                <w:tab w:val="left" w:pos="2855"/>
                <w:tab w:val="left" w:pos="3556"/>
                <w:tab w:val="left" w:pos="4257"/>
              </w:tabs>
              <w:ind w:left="196"/>
              <w:rPr>
                <w:sz w:val="28"/>
              </w:rPr>
            </w:pPr>
            <w:r>
              <w:rPr>
                <w:rFonts w:hint="eastAsia" w:ascii="楷体_GB2312" w:hAnsi="宋体" w:eastAsia="楷体_GB2312" w:cs="Times New Roman"/>
                <w:color w:val="auto"/>
                <w:kern w:val="2"/>
                <w:sz w:val="21"/>
                <w:szCs w:val="21"/>
                <w:lang w:val="zh-CN" w:eastAsia="zh-CN" w:bidi="ar-SA"/>
              </w:rPr>
              <w:t xml:space="preserve">时间： </w:t>
            </w:r>
            <w:r>
              <w:rPr>
                <w:rFonts w:hint="eastAsia" w:ascii="楷体_GB2312" w:hAnsi="宋体" w:eastAsia="楷体_GB2312" w:cs="Times New Roman"/>
                <w:color w:val="auto"/>
                <w:kern w:val="2"/>
                <w:sz w:val="21"/>
                <w:szCs w:val="21"/>
                <w:lang w:val="zh-CN" w:eastAsia="zh-CN" w:bidi="ar-SA"/>
              </w:rPr>
              <w:tab/>
            </w:r>
            <w:r>
              <w:rPr>
                <w:rFonts w:hint="eastAsia" w:ascii="楷体_GB2312" w:hAnsi="宋体" w:eastAsia="楷体_GB2312" w:cs="Times New Roman"/>
                <w:color w:val="auto"/>
                <w:kern w:val="2"/>
                <w:sz w:val="21"/>
                <w:szCs w:val="21"/>
                <w:lang w:val="zh-CN" w:eastAsia="zh-CN" w:bidi="ar-SA"/>
              </w:rPr>
              <w:t xml:space="preserve">年 </w:t>
            </w:r>
            <w:r>
              <w:rPr>
                <w:rFonts w:hint="eastAsia" w:ascii="楷体_GB2312" w:hAnsi="宋体" w:eastAsia="楷体_GB2312" w:cs="Times New Roman"/>
                <w:color w:val="auto"/>
                <w:kern w:val="2"/>
                <w:sz w:val="21"/>
                <w:szCs w:val="21"/>
                <w:lang w:val="zh-CN" w:eastAsia="zh-CN" w:bidi="ar-SA"/>
              </w:rPr>
              <w:tab/>
            </w:r>
            <w:r>
              <w:rPr>
                <w:rFonts w:hint="eastAsia" w:ascii="楷体_GB2312" w:hAnsi="宋体" w:eastAsia="楷体_GB2312" w:cs="Times New Roman"/>
                <w:color w:val="auto"/>
                <w:kern w:val="2"/>
                <w:sz w:val="21"/>
                <w:szCs w:val="21"/>
                <w:lang w:val="zh-CN" w:eastAsia="zh-CN" w:bidi="ar-SA"/>
              </w:rPr>
              <w:t xml:space="preserve">月 </w:t>
            </w:r>
            <w:r>
              <w:rPr>
                <w:rFonts w:hint="eastAsia" w:ascii="楷体_GB2312" w:hAnsi="宋体" w:eastAsia="楷体_GB2312" w:cs="Times New Roman"/>
                <w:color w:val="auto"/>
                <w:kern w:val="2"/>
                <w:sz w:val="21"/>
                <w:szCs w:val="21"/>
                <w:lang w:val="zh-CN" w:eastAsia="zh-CN" w:bidi="ar-SA"/>
              </w:rPr>
              <w:tab/>
            </w:r>
            <w:r>
              <w:rPr>
                <w:rFonts w:hint="eastAsia" w:ascii="楷体_GB2312" w:hAnsi="宋体" w:eastAsia="楷体_GB2312" w:cs="Times New Roman"/>
                <w:color w:val="auto"/>
                <w:kern w:val="2"/>
                <w:sz w:val="21"/>
                <w:szCs w:val="21"/>
                <w:lang w:val="zh-CN" w:eastAsia="zh-CN" w:bidi="ar-SA"/>
              </w:rPr>
              <w:t xml:space="preserve">日  </w:t>
            </w:r>
            <w:r>
              <w:rPr>
                <w:rFonts w:hint="eastAsia" w:ascii="楷体_GB2312" w:hAnsi="宋体" w:eastAsia="楷体_GB2312" w:cs="Times New Roman"/>
                <w:color w:val="auto"/>
                <w:kern w:val="2"/>
                <w:sz w:val="21"/>
                <w:szCs w:val="21"/>
                <w:lang w:val="zh-CN" w:eastAsia="zh-CN" w:bidi="ar-SA"/>
              </w:rPr>
              <w:tab/>
            </w:r>
          </w:p>
        </w:tc>
      </w:tr>
    </w:tbl>
    <w:p>
      <w:pPr>
        <w:bidi w:val="0"/>
      </w:pPr>
    </w:p>
    <w:p>
      <w:pPr>
        <w:pStyle w:val="5"/>
        <w:numPr>
          <w:ilvl w:val="2"/>
          <w:numId w:val="0"/>
        </w:numPr>
        <w:bidi w:val="0"/>
        <w:ind w:leftChars="0"/>
        <w:rPr>
          <w:color w:val="auto"/>
        </w:rPr>
      </w:pPr>
      <w:bookmarkStart w:id="354" w:name="_Toc20917"/>
      <w:r>
        <w:rPr>
          <w:color w:val="auto"/>
        </w:rPr>
        <w:t>附件</w:t>
      </w:r>
      <w:r>
        <w:rPr>
          <w:rFonts w:hint="eastAsia"/>
          <w:color w:val="auto"/>
          <w:lang w:val="en-US" w:eastAsia="zh-CN"/>
        </w:rPr>
        <w:t>三</w:t>
      </w:r>
      <w:r>
        <w:rPr>
          <w:color w:val="auto"/>
        </w:rPr>
        <w:t>：中标通知书</w:t>
      </w:r>
      <w:bookmarkEnd w:id="351"/>
      <w:bookmarkEnd w:id="354"/>
    </w:p>
    <w:p>
      <w:pPr>
        <w:spacing w:line="400" w:lineRule="exact"/>
        <w:rPr>
          <w:b/>
          <w:color w:val="auto"/>
        </w:rPr>
      </w:pPr>
    </w:p>
    <w:p>
      <w:pPr>
        <w:spacing w:line="400" w:lineRule="exact"/>
        <w:jc w:val="center"/>
        <w:rPr>
          <w:b/>
          <w:color w:val="auto"/>
          <w:sz w:val="28"/>
          <w:szCs w:val="28"/>
        </w:rPr>
      </w:pPr>
      <w:r>
        <w:rPr>
          <w:b/>
          <w:color w:val="auto"/>
          <w:sz w:val="28"/>
          <w:szCs w:val="28"/>
        </w:rPr>
        <w:t>中标通知书</w:t>
      </w:r>
    </w:p>
    <w:p>
      <w:pPr>
        <w:spacing w:line="400" w:lineRule="exact"/>
        <w:rPr>
          <w:color w:val="auto"/>
        </w:rPr>
      </w:pPr>
    </w:p>
    <w:p>
      <w:pPr>
        <w:spacing w:line="440" w:lineRule="exact"/>
        <w:rPr>
          <w:color w:val="auto"/>
          <w:szCs w:val="21"/>
        </w:rPr>
      </w:pPr>
      <w:r>
        <w:rPr>
          <w:color w:val="auto"/>
          <w:szCs w:val="21"/>
          <w:u w:val="single"/>
        </w:rPr>
        <w:t xml:space="preserve">                   </w:t>
      </w:r>
      <w:r>
        <w:rPr>
          <w:color w:val="auto"/>
          <w:szCs w:val="21"/>
        </w:rPr>
        <w:t>（中标人名称）：</w:t>
      </w:r>
    </w:p>
    <w:p>
      <w:pPr>
        <w:spacing w:line="440" w:lineRule="exact"/>
        <w:rPr>
          <w:color w:val="auto"/>
          <w:szCs w:val="21"/>
        </w:rPr>
      </w:pPr>
    </w:p>
    <w:p>
      <w:pPr>
        <w:spacing w:line="440" w:lineRule="exact"/>
        <w:rPr>
          <w:color w:val="auto"/>
          <w:szCs w:val="21"/>
        </w:rPr>
      </w:pPr>
      <w:r>
        <w:rPr>
          <w:color w:val="auto"/>
          <w:szCs w:val="21"/>
        </w:rPr>
        <w:t>　　你方于</w:t>
      </w:r>
      <w:r>
        <w:rPr>
          <w:color w:val="auto"/>
          <w:szCs w:val="21"/>
          <w:u w:val="single"/>
        </w:rPr>
        <w:t xml:space="preserve">         </w:t>
      </w:r>
      <w:r>
        <w:rPr>
          <w:color w:val="auto"/>
          <w:szCs w:val="21"/>
        </w:rPr>
        <w:t>（投标日期）所递交的</w:t>
      </w:r>
      <w:r>
        <w:rPr>
          <w:color w:val="auto"/>
          <w:szCs w:val="21"/>
          <w:u w:val="single"/>
        </w:rPr>
        <w:t xml:space="preserve">         </w:t>
      </w:r>
      <w:r>
        <w:rPr>
          <w:color w:val="auto"/>
          <w:szCs w:val="21"/>
        </w:rPr>
        <w:t>（项目名称）</w:t>
      </w:r>
      <w:r>
        <w:rPr>
          <w:color w:val="auto"/>
          <w:szCs w:val="21"/>
          <w:u w:val="single"/>
        </w:rPr>
        <w:t xml:space="preserve">      （</w:t>
      </w:r>
      <w:r>
        <w:rPr>
          <w:color w:val="auto"/>
          <w:szCs w:val="21"/>
        </w:rPr>
        <w:t>招标编号、物资名称、包件号）投标文件已被我方接受，被确定为中标人。</w:t>
      </w:r>
    </w:p>
    <w:p>
      <w:pPr>
        <w:spacing w:line="440" w:lineRule="exact"/>
        <w:rPr>
          <w:color w:val="auto"/>
          <w:szCs w:val="21"/>
        </w:rPr>
      </w:pPr>
      <w:r>
        <w:rPr>
          <w:color w:val="auto"/>
          <w:szCs w:val="21"/>
        </w:rPr>
        <w:t>　　中标价：</w:t>
      </w:r>
      <w:r>
        <w:rPr>
          <w:color w:val="auto"/>
          <w:szCs w:val="21"/>
          <w:u w:val="single"/>
        </w:rPr>
        <w:t xml:space="preserve">                   </w:t>
      </w:r>
      <w:r>
        <w:rPr>
          <w:color w:val="auto"/>
          <w:szCs w:val="21"/>
        </w:rPr>
        <w:t>元。</w:t>
      </w:r>
    </w:p>
    <w:p>
      <w:pPr>
        <w:spacing w:line="440" w:lineRule="exact"/>
        <w:ind w:firstLine="420"/>
        <w:rPr>
          <w:color w:val="auto"/>
          <w:szCs w:val="21"/>
          <w:u w:val="single"/>
        </w:rPr>
      </w:pPr>
      <w:r>
        <w:rPr>
          <w:color w:val="auto"/>
          <w:szCs w:val="21"/>
        </w:rPr>
        <w:t>请你方在接到本通知书后</w:t>
      </w:r>
      <w:r>
        <w:rPr>
          <w:rFonts w:hint="eastAsia"/>
          <w:color w:val="auto"/>
          <w:szCs w:val="21"/>
          <w:lang w:val="en-US" w:eastAsia="zh-CN"/>
        </w:rPr>
        <w:t>根据项目要求及时进行供货，并于</w:t>
      </w:r>
      <w:r>
        <w:rPr>
          <w:rFonts w:hint="eastAsia"/>
          <w:color w:val="auto"/>
          <w:szCs w:val="21"/>
          <w:u w:val="single"/>
          <w:lang w:val="en-US" w:eastAsia="zh-CN"/>
        </w:rPr>
        <w:t>60</w:t>
      </w:r>
      <w:r>
        <w:rPr>
          <w:color w:val="auto"/>
          <w:szCs w:val="21"/>
        </w:rPr>
        <w:t>日内到</w:t>
      </w:r>
      <w:r>
        <w:rPr>
          <w:rFonts w:hint="eastAsia"/>
          <w:color w:val="auto"/>
          <w:szCs w:val="21"/>
          <w:u w:val="single"/>
          <w:lang w:val="en-US" w:eastAsia="zh-CN"/>
        </w:rPr>
        <w:t xml:space="preserve">      </w:t>
      </w:r>
      <w:r>
        <w:rPr>
          <w:color w:val="auto"/>
          <w:szCs w:val="21"/>
        </w:rPr>
        <w:t>（指定地点）与我方签订合同</w:t>
      </w:r>
      <w:r>
        <w:rPr>
          <w:rFonts w:hint="eastAsia"/>
          <w:color w:val="auto"/>
          <w:szCs w:val="21"/>
          <w:lang w:eastAsia="zh-CN"/>
        </w:rPr>
        <w:t>。</w:t>
      </w:r>
      <w:r>
        <w:rPr>
          <w:color w:val="auto"/>
          <w:szCs w:val="21"/>
          <w:u w:val="single"/>
        </w:rPr>
        <w:t xml:space="preserve">    </w:t>
      </w:r>
    </w:p>
    <w:p>
      <w:pPr>
        <w:spacing w:line="440" w:lineRule="exact"/>
        <w:ind w:firstLine="420"/>
        <w:rPr>
          <w:color w:val="auto"/>
          <w:szCs w:val="21"/>
          <w:u w:val="single"/>
        </w:rPr>
      </w:pPr>
      <w:r>
        <w:rPr>
          <w:color w:val="auto"/>
          <w:szCs w:val="21"/>
          <w:u w:val="single"/>
        </w:rPr>
        <w:t xml:space="preserve">          </w:t>
      </w:r>
    </w:p>
    <w:p>
      <w:pPr>
        <w:spacing w:line="440" w:lineRule="exact"/>
        <w:rPr>
          <w:color w:val="auto"/>
          <w:szCs w:val="21"/>
        </w:rPr>
      </w:pPr>
      <w:r>
        <w:rPr>
          <w:color w:val="auto"/>
          <w:szCs w:val="21"/>
        </w:rPr>
        <w:t>　　特此通知。</w:t>
      </w: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540" w:lineRule="exact"/>
        <w:ind w:firstLine="3238" w:firstLineChars="1542"/>
        <w:rPr>
          <w:color w:val="auto"/>
          <w:szCs w:val="21"/>
        </w:rPr>
      </w:pPr>
      <w:r>
        <w:rPr>
          <w:color w:val="auto"/>
          <w:szCs w:val="21"/>
        </w:rPr>
        <w:t>招标人：</w:t>
      </w:r>
      <w:r>
        <w:rPr>
          <w:rFonts w:hint="eastAsia"/>
          <w:color w:val="auto"/>
          <w:szCs w:val="21"/>
          <w:u w:val="single"/>
        </w:rPr>
        <w:t xml:space="preserve">               </w:t>
      </w:r>
      <w:r>
        <w:rPr>
          <w:color w:val="auto"/>
          <w:szCs w:val="21"/>
        </w:rPr>
        <w:t>（盖单位章）</w:t>
      </w:r>
    </w:p>
    <w:p>
      <w:pPr>
        <w:spacing w:line="540" w:lineRule="exact"/>
        <w:ind w:firstLine="3990" w:firstLineChars="1900"/>
        <w:rPr>
          <w:color w:val="auto"/>
          <w:szCs w:val="21"/>
        </w:rPr>
      </w:pPr>
      <w:r>
        <w:rPr>
          <w:rFonts w:hint="eastAsia"/>
          <w:color w:val="auto"/>
          <w:szCs w:val="21"/>
          <w:u w:val="single"/>
        </w:rPr>
        <w:t xml:space="preserve">       </w:t>
      </w:r>
      <w:r>
        <w:rPr>
          <w:rFonts w:hint="eastAsia"/>
          <w:color w:val="auto"/>
          <w:szCs w:val="21"/>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ind w:firstLine="420" w:firstLineChars="200"/>
        <w:rPr>
          <w:rFonts w:ascii="宋体"/>
          <w:color w:val="auto"/>
        </w:rPr>
      </w:pPr>
    </w:p>
    <w:p>
      <w:pPr>
        <w:ind w:firstLine="420" w:firstLineChars="200"/>
        <w:rPr>
          <w:rFonts w:ascii="宋体"/>
          <w:color w:val="FF0000"/>
        </w:rPr>
      </w:pPr>
    </w:p>
    <w:p>
      <w:pPr>
        <w:ind w:firstLine="420" w:firstLineChars="200"/>
        <w:rPr>
          <w:rFonts w:ascii="宋体"/>
          <w:color w:val="FF0000"/>
        </w:rPr>
      </w:pPr>
    </w:p>
    <w:p>
      <w:pPr>
        <w:ind w:firstLine="420" w:firstLineChars="200"/>
        <w:rPr>
          <w:rFonts w:ascii="宋体"/>
          <w:color w:val="FF0000"/>
        </w:rPr>
      </w:pPr>
    </w:p>
    <w:p>
      <w:pPr>
        <w:ind w:firstLine="420" w:firstLineChars="200"/>
        <w:rPr>
          <w:rFonts w:ascii="宋体"/>
          <w:color w:val="FF0000"/>
        </w:rPr>
      </w:pPr>
    </w:p>
    <w:p>
      <w:pPr>
        <w:bidi w:val="0"/>
      </w:pPr>
    </w:p>
    <w:p/>
    <w:p/>
    <w:p>
      <w:pPr>
        <w:ind w:firstLine="420" w:firstLineChars="200"/>
        <w:rPr>
          <w:rFonts w:ascii="宋体"/>
          <w:color w:val="FF0000"/>
        </w:rPr>
      </w:pPr>
    </w:p>
    <w:p>
      <w:pPr>
        <w:pStyle w:val="2"/>
        <w:rPr>
          <w:rFonts w:ascii="宋体"/>
          <w:color w:val="FF0000"/>
        </w:rPr>
      </w:pPr>
    </w:p>
    <w:p>
      <w:pPr>
        <w:pStyle w:val="2"/>
        <w:rPr>
          <w:rFonts w:ascii="宋体"/>
          <w:color w:val="FF0000"/>
        </w:rPr>
      </w:pPr>
    </w:p>
    <w:p>
      <w:pPr>
        <w:pStyle w:val="5"/>
        <w:numPr>
          <w:ilvl w:val="2"/>
          <w:numId w:val="0"/>
        </w:numPr>
        <w:bidi w:val="0"/>
        <w:ind w:leftChars="0"/>
        <w:rPr>
          <w:color w:val="auto"/>
        </w:rPr>
      </w:pPr>
      <w:bookmarkStart w:id="355" w:name="_Toc17203"/>
      <w:bookmarkStart w:id="356" w:name="_Toc18738"/>
      <w:r>
        <w:rPr>
          <w:color w:val="auto"/>
        </w:rPr>
        <w:t>附件</w:t>
      </w:r>
      <w:r>
        <w:rPr>
          <w:rFonts w:hint="eastAsia"/>
          <w:color w:val="auto"/>
          <w:lang w:val="en-US" w:eastAsia="zh-CN"/>
        </w:rPr>
        <w:t>四</w:t>
      </w:r>
      <w:r>
        <w:rPr>
          <w:color w:val="auto"/>
        </w:rPr>
        <w:t>：中标结果通知书</w:t>
      </w:r>
      <w:bookmarkEnd w:id="355"/>
      <w:bookmarkEnd w:id="356"/>
    </w:p>
    <w:p>
      <w:pPr>
        <w:spacing w:line="400" w:lineRule="exact"/>
        <w:rPr>
          <w:b/>
          <w:color w:val="auto"/>
        </w:rPr>
      </w:pPr>
    </w:p>
    <w:p>
      <w:pPr>
        <w:spacing w:line="400" w:lineRule="exact"/>
        <w:jc w:val="center"/>
        <w:rPr>
          <w:b/>
          <w:color w:val="auto"/>
          <w:sz w:val="28"/>
          <w:szCs w:val="28"/>
        </w:rPr>
      </w:pPr>
      <w:r>
        <w:rPr>
          <w:b/>
          <w:color w:val="auto"/>
          <w:sz w:val="28"/>
          <w:szCs w:val="28"/>
        </w:rPr>
        <w:t>中标结果通知书</w:t>
      </w:r>
    </w:p>
    <w:p>
      <w:pPr>
        <w:spacing w:line="400" w:lineRule="exact"/>
        <w:rPr>
          <w:color w:val="auto"/>
        </w:rPr>
      </w:pPr>
    </w:p>
    <w:p>
      <w:pPr>
        <w:spacing w:line="440" w:lineRule="exact"/>
        <w:rPr>
          <w:color w:val="auto"/>
          <w:szCs w:val="21"/>
        </w:rPr>
      </w:pPr>
      <w:r>
        <w:rPr>
          <w:color w:val="auto"/>
          <w:szCs w:val="21"/>
          <w:u w:val="single"/>
        </w:rPr>
        <w:t xml:space="preserve">                  </w:t>
      </w:r>
      <w:r>
        <w:rPr>
          <w:color w:val="auto"/>
          <w:szCs w:val="21"/>
        </w:rPr>
        <w:t>（未中标人名称）：</w:t>
      </w:r>
    </w:p>
    <w:p>
      <w:pPr>
        <w:spacing w:line="440" w:lineRule="exact"/>
        <w:rPr>
          <w:color w:val="auto"/>
          <w:szCs w:val="21"/>
        </w:rPr>
      </w:pPr>
    </w:p>
    <w:p>
      <w:pPr>
        <w:spacing w:line="440" w:lineRule="exact"/>
        <w:rPr>
          <w:color w:val="auto"/>
          <w:szCs w:val="21"/>
        </w:rPr>
      </w:pPr>
      <w:r>
        <w:rPr>
          <w:color w:val="auto"/>
          <w:szCs w:val="21"/>
        </w:rPr>
        <w:t>　　我方已接受</w:t>
      </w:r>
      <w:r>
        <w:rPr>
          <w:color w:val="auto"/>
          <w:szCs w:val="21"/>
          <w:u w:val="single"/>
        </w:rPr>
        <w:t xml:space="preserve">                  </w:t>
      </w:r>
      <w:r>
        <w:rPr>
          <w:color w:val="auto"/>
          <w:szCs w:val="21"/>
        </w:rPr>
        <w:t xml:space="preserve"> （中标人名称）于</w:t>
      </w:r>
      <w:r>
        <w:rPr>
          <w:color w:val="auto"/>
          <w:szCs w:val="21"/>
          <w:u w:val="single"/>
        </w:rPr>
        <w:t xml:space="preserve">                  </w:t>
      </w:r>
      <w:r>
        <w:rPr>
          <w:color w:val="auto"/>
          <w:szCs w:val="21"/>
        </w:rPr>
        <w:t>（投标日期）所递交的</w:t>
      </w:r>
      <w:r>
        <w:rPr>
          <w:color w:val="auto"/>
          <w:szCs w:val="21"/>
          <w:u w:val="single"/>
        </w:rPr>
        <w:t xml:space="preserve">            </w:t>
      </w:r>
      <w:r>
        <w:rPr>
          <w:color w:val="auto"/>
          <w:szCs w:val="21"/>
        </w:rPr>
        <w:t>（项目名称）</w:t>
      </w:r>
      <w:r>
        <w:rPr>
          <w:color w:val="auto"/>
          <w:szCs w:val="21"/>
          <w:u w:val="single"/>
        </w:rPr>
        <w:t xml:space="preserve">           </w:t>
      </w:r>
      <w:r>
        <w:rPr>
          <w:color w:val="auto"/>
          <w:szCs w:val="21"/>
        </w:rPr>
        <w:t>（招标编号、物资名称、包件号）投标文件，确定</w:t>
      </w:r>
      <w:r>
        <w:rPr>
          <w:color w:val="auto"/>
          <w:szCs w:val="21"/>
          <w:u w:val="single"/>
        </w:rPr>
        <w:t xml:space="preserve">            </w:t>
      </w:r>
      <w:r>
        <w:rPr>
          <w:color w:val="auto"/>
          <w:szCs w:val="21"/>
        </w:rPr>
        <w:t>（中标人名称）为中标人。</w:t>
      </w:r>
    </w:p>
    <w:p>
      <w:pPr>
        <w:spacing w:line="440" w:lineRule="exact"/>
        <w:rPr>
          <w:color w:val="auto"/>
          <w:szCs w:val="21"/>
        </w:rPr>
      </w:pPr>
      <w:r>
        <w:rPr>
          <w:color w:val="auto"/>
          <w:szCs w:val="21"/>
        </w:rPr>
        <w:t>　　</w:t>
      </w:r>
    </w:p>
    <w:p>
      <w:pPr>
        <w:spacing w:line="440" w:lineRule="exact"/>
        <w:rPr>
          <w:color w:val="auto"/>
          <w:szCs w:val="21"/>
        </w:rPr>
      </w:pPr>
      <w:r>
        <w:rPr>
          <w:color w:val="auto"/>
          <w:szCs w:val="21"/>
        </w:rPr>
        <w:t>　　感谢你单位对我们工作的大力支持！</w:t>
      </w: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ind w:firstLine="3360" w:firstLineChars="1600"/>
        <w:rPr>
          <w:color w:val="auto"/>
          <w:szCs w:val="21"/>
        </w:rPr>
      </w:pPr>
      <w:r>
        <w:rPr>
          <w:color w:val="auto"/>
          <w:szCs w:val="21"/>
        </w:rPr>
        <w:t>招标人：</w:t>
      </w:r>
      <w:r>
        <w:rPr>
          <w:color w:val="auto"/>
          <w:szCs w:val="21"/>
          <w:u w:val="single"/>
        </w:rPr>
        <w:t xml:space="preserve">                </w:t>
      </w:r>
      <w:r>
        <w:rPr>
          <w:color w:val="auto"/>
          <w:szCs w:val="21"/>
        </w:rPr>
        <w:t>（盖单位章）</w:t>
      </w:r>
    </w:p>
    <w:p>
      <w:pPr>
        <w:spacing w:line="440" w:lineRule="exact"/>
        <w:rPr>
          <w:color w:val="auto"/>
          <w:szCs w:val="21"/>
        </w:rPr>
      </w:pPr>
    </w:p>
    <w:p>
      <w:pPr>
        <w:spacing w:line="440" w:lineRule="exact"/>
        <w:rPr>
          <w:color w:val="auto"/>
          <w:szCs w:val="21"/>
        </w:rPr>
      </w:pPr>
      <w:r>
        <w:rPr>
          <w:color w:val="auto"/>
          <w:szCs w:val="21"/>
        </w:rPr>
        <w:t xml:space="preserve">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ind w:firstLine="420" w:firstLineChars="200"/>
        <w:rPr>
          <w:rFonts w:ascii="宋体"/>
          <w:color w:val="FF0000"/>
        </w:rPr>
      </w:pPr>
      <w:r>
        <w:rPr>
          <w:rFonts w:ascii="宋体"/>
          <w:color w:val="auto"/>
        </w:rPr>
        <w:br w:type="page"/>
      </w:r>
    </w:p>
    <w:p>
      <w:pPr>
        <w:pStyle w:val="3"/>
        <w:bidi w:val="0"/>
        <w:ind w:left="432" w:leftChars="0" w:hanging="432" w:firstLineChars="0"/>
        <w:jc w:val="center"/>
        <w:rPr>
          <w:rFonts w:hint="eastAsia" w:eastAsia="宋体"/>
          <w:lang w:val="en-US" w:eastAsia="zh-CN"/>
        </w:rPr>
      </w:pPr>
      <w:bookmarkStart w:id="357" w:name="_Toc5574"/>
      <w:bookmarkStart w:id="358" w:name="_Toc30059"/>
      <w:bookmarkStart w:id="359" w:name="_Toc27538"/>
      <w:bookmarkStart w:id="360" w:name="_Toc5399"/>
      <w:bookmarkStart w:id="361" w:name="_Toc31541"/>
      <w:bookmarkStart w:id="362" w:name="_Toc14397"/>
      <w:bookmarkStart w:id="363" w:name="_Toc1310"/>
      <w:bookmarkStart w:id="364" w:name="_Toc5342"/>
      <w:bookmarkStart w:id="365" w:name="_Toc30351"/>
      <w:bookmarkStart w:id="366" w:name="_Toc27720"/>
      <w:r>
        <w:rPr>
          <w:rFonts w:hint="eastAsia"/>
        </w:rPr>
        <w:t>第</w:t>
      </w:r>
      <w:r>
        <w:rPr>
          <w:rFonts w:hint="eastAsia"/>
          <w:lang w:val="en-US" w:eastAsia="zh-CN"/>
        </w:rPr>
        <w:t>四</w:t>
      </w:r>
      <w:r>
        <w:rPr>
          <w:rFonts w:hint="eastAsia"/>
        </w:rPr>
        <w:t>章 合同格式</w:t>
      </w:r>
      <w:bookmarkEnd w:id="357"/>
      <w:bookmarkEnd w:id="358"/>
      <w:bookmarkEnd w:id="359"/>
      <w:bookmarkEnd w:id="360"/>
      <w:bookmarkEnd w:id="361"/>
      <w:bookmarkEnd w:id="362"/>
      <w:bookmarkEnd w:id="363"/>
      <w:bookmarkEnd w:id="364"/>
      <w:bookmarkEnd w:id="365"/>
      <w:bookmarkStart w:id="367" w:name="_Toc238797651"/>
      <w:bookmarkStart w:id="368" w:name="_Toc255764440"/>
      <w:bookmarkStart w:id="369" w:name="_Toc238552290"/>
      <w:r>
        <w:rPr>
          <w:rFonts w:hint="eastAsia"/>
          <w:lang w:val="en-US" w:eastAsia="zh-CN"/>
        </w:rPr>
        <w:t>模板</w:t>
      </w:r>
      <w:bookmarkEnd w:id="366"/>
    </w:p>
    <w:p>
      <w:pPr>
        <w:pStyle w:val="5"/>
        <w:outlineLvl w:val="0"/>
        <w:rPr>
          <w:rFonts w:hint="eastAsia"/>
        </w:rPr>
      </w:pPr>
      <w:bookmarkStart w:id="370" w:name="_Toc3864"/>
      <w:bookmarkStart w:id="371" w:name="_Toc26049"/>
      <w:bookmarkStart w:id="372" w:name="_Toc20064"/>
      <w:bookmarkStart w:id="373" w:name="_Toc13999"/>
      <w:bookmarkStart w:id="374" w:name="_Toc12115"/>
      <w:bookmarkStart w:id="375" w:name="_Toc13539"/>
      <w:bookmarkStart w:id="376" w:name="_Toc30320"/>
      <w:bookmarkStart w:id="377" w:name="_Toc12789"/>
      <w:bookmarkStart w:id="378" w:name="_Toc23115"/>
      <w:bookmarkStart w:id="379" w:name="_Toc19127"/>
      <w:bookmarkStart w:id="380" w:name="_Toc15089"/>
      <w:bookmarkStart w:id="381" w:name="_Toc13216"/>
      <w:bookmarkStart w:id="382" w:name="_Toc7025"/>
      <w:bookmarkStart w:id="383" w:name="_Toc22622"/>
      <w:bookmarkStart w:id="384" w:name="_Toc30503"/>
      <w:bookmarkStart w:id="385" w:name="_Toc28852"/>
      <w:bookmarkStart w:id="386" w:name="_Toc24999"/>
      <w:bookmarkStart w:id="387" w:name="_Toc24324"/>
      <w:bookmarkStart w:id="388" w:name="_Toc25429"/>
      <w:bookmarkStart w:id="389" w:name="_Toc14362"/>
      <w:bookmarkStart w:id="390" w:name="_Toc28651"/>
      <w:bookmarkStart w:id="391" w:name="_Toc26815"/>
      <w:bookmarkStart w:id="392" w:name="_Toc16009"/>
      <w:bookmarkStart w:id="393" w:name="_Toc18638"/>
      <w:bookmarkStart w:id="394" w:name="_Toc3923"/>
      <w:bookmarkStart w:id="395" w:name="_Toc25320"/>
      <w:bookmarkStart w:id="396" w:name="_Toc9039"/>
      <w:r>
        <w:rPr>
          <w:rFonts w:hint="eastAsia"/>
        </w:rPr>
        <w:t>附件一：</w:t>
      </w:r>
      <w:bookmarkEnd w:id="367"/>
      <w:bookmarkEnd w:id="368"/>
      <w:r>
        <w:rPr>
          <w:rFonts w:hint="eastAsia"/>
        </w:rPr>
        <w:t>采购合同</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bookmarkEnd w:id="369"/>
    <w:p>
      <w:pPr>
        <w:rPr>
          <w:rFonts w:ascii="宋体"/>
        </w:rPr>
      </w:pPr>
    </w:p>
    <w:p>
      <w:pPr>
        <w:jc w:val="center"/>
        <w:rPr>
          <w:rFonts w:hint="default" w:ascii="仿宋_GB2312" w:hAnsi="华文宋体" w:eastAsia="仿宋_GB2312"/>
          <w:sz w:val="28"/>
          <w:szCs w:val="28"/>
          <w:lang w:val="en-US" w:eastAsia="zh-CN"/>
        </w:rPr>
      </w:pPr>
      <w:r>
        <w:rPr>
          <w:rFonts w:hint="eastAsia" w:ascii="仿宋_GB2312" w:hAnsi="华文宋体" w:eastAsia="仿宋_GB2312"/>
          <w:sz w:val="28"/>
          <w:szCs w:val="28"/>
        </w:rPr>
        <w:t xml:space="preserve">                        </w:t>
      </w:r>
    </w:p>
    <w:p>
      <w:pPr>
        <w:jc w:val="center"/>
        <w:rPr>
          <w:rFonts w:ascii="仿宋_GB2312" w:hAnsi="华文宋体" w:eastAsia="仿宋_GB2312"/>
          <w:sz w:val="36"/>
          <w:szCs w:val="36"/>
        </w:rPr>
      </w:pPr>
      <w:r>
        <w:rPr>
          <w:rFonts w:hint="eastAsia" w:ascii="仿宋_GB2312" w:hAnsi="华文宋体" w:eastAsia="仿宋_GB2312"/>
          <w:color w:val="auto"/>
          <w:sz w:val="28"/>
          <w:szCs w:val="28"/>
          <w:lang w:val="en-US" w:eastAsia="zh-CN"/>
        </w:rPr>
        <w:t xml:space="preserve">                        </w:t>
      </w:r>
      <w:r>
        <w:rPr>
          <w:rFonts w:hint="eastAsia" w:ascii="仿宋_GB2312" w:hAnsi="华文宋体" w:eastAsia="仿宋_GB2312"/>
          <w:color w:val="auto"/>
          <w:sz w:val="28"/>
          <w:szCs w:val="28"/>
        </w:rPr>
        <w:t>合同编号：</w:t>
      </w:r>
    </w:p>
    <w:p>
      <w:pPr>
        <w:jc w:val="center"/>
        <w:rPr>
          <w:rFonts w:ascii="仿宋_GB2312" w:hAnsi="华文宋体" w:eastAsia="仿宋_GB2312"/>
          <w:sz w:val="36"/>
          <w:szCs w:val="36"/>
        </w:rPr>
      </w:pPr>
    </w:p>
    <w:p>
      <w:pPr>
        <w:jc w:val="center"/>
        <w:rPr>
          <w:rFonts w:ascii="仿宋_GB2312" w:hAnsi="华文宋体" w:eastAsia="仿宋_GB2312"/>
          <w:sz w:val="36"/>
          <w:szCs w:val="36"/>
        </w:rPr>
      </w:pPr>
    </w:p>
    <w:p>
      <w:pPr>
        <w:jc w:val="center"/>
        <w:rPr>
          <w:rFonts w:ascii="仿宋_GB2312" w:hAnsi="华文宋体" w:eastAsia="仿宋_GB2312"/>
          <w:sz w:val="36"/>
          <w:szCs w:val="36"/>
        </w:rPr>
      </w:pPr>
    </w:p>
    <w:p>
      <w:pPr>
        <w:pStyle w:val="2"/>
      </w:pPr>
    </w:p>
    <w:p>
      <w:pPr>
        <w:jc w:val="center"/>
        <w:rPr>
          <w:rFonts w:ascii="仿宋_GB2312" w:hAnsi="华文宋体" w:eastAsia="仿宋_GB2312"/>
          <w:sz w:val="44"/>
          <w:szCs w:val="44"/>
        </w:rPr>
      </w:pPr>
      <w:r>
        <w:rPr>
          <w:rFonts w:hint="eastAsia" w:ascii="仿宋_GB2312" w:hAnsi="华文宋体" w:eastAsia="仿宋_GB2312"/>
          <w:sz w:val="44"/>
          <w:szCs w:val="44"/>
        </w:rPr>
        <w:t>集中采购</w:t>
      </w:r>
    </w:p>
    <w:p>
      <w:pPr>
        <w:jc w:val="center"/>
        <w:rPr>
          <w:rFonts w:ascii="仿宋_GB2312" w:hAnsi="华文宋体" w:eastAsia="仿宋_GB2312"/>
          <w:sz w:val="44"/>
          <w:szCs w:val="44"/>
        </w:rPr>
      </w:pPr>
      <w:r>
        <w:rPr>
          <w:rFonts w:hint="eastAsia" w:ascii="仿宋_GB2312" w:hAnsi="华文宋体" w:eastAsia="仿宋_GB2312"/>
          <w:sz w:val="44"/>
          <w:szCs w:val="44"/>
        </w:rPr>
        <w:t>（钢材</w:t>
      </w:r>
      <w:r>
        <w:rPr>
          <w:rFonts w:hint="eastAsia" w:ascii="仿宋_GB2312" w:hAnsi="华文宋体" w:eastAsia="仿宋_GB2312"/>
          <w:sz w:val="44"/>
          <w:szCs w:val="44"/>
          <w:lang w:val="en-US" w:eastAsia="zh-CN"/>
        </w:rPr>
        <w:t>采购</w:t>
      </w:r>
      <w:r>
        <w:rPr>
          <w:rFonts w:hint="eastAsia" w:ascii="仿宋_GB2312" w:hAnsi="华文宋体" w:eastAsia="仿宋_GB2312"/>
          <w:sz w:val="44"/>
          <w:szCs w:val="44"/>
        </w:rPr>
        <w:t>合同）</w:t>
      </w:r>
    </w:p>
    <w:p>
      <w:pPr>
        <w:jc w:val="center"/>
        <w:rPr>
          <w:rFonts w:ascii="仿宋_GB2312" w:hAnsi="华文宋体" w:eastAsia="仿宋_GB2312"/>
          <w:sz w:val="32"/>
          <w:szCs w:val="32"/>
        </w:rPr>
      </w:pPr>
    </w:p>
    <w:p>
      <w:pPr>
        <w:tabs>
          <w:tab w:val="left" w:pos="5104"/>
        </w:tabs>
        <w:jc w:val="left"/>
        <w:rPr>
          <w:rFonts w:ascii="仿宋_GB2312" w:hAnsi="华文宋体" w:eastAsia="仿宋_GB2312"/>
          <w:sz w:val="32"/>
          <w:szCs w:val="32"/>
        </w:rPr>
      </w:pPr>
      <w:r>
        <w:rPr>
          <w:rFonts w:ascii="仿宋_GB2312" w:hAnsi="华文宋体" w:eastAsia="仿宋_GB2312"/>
          <w:sz w:val="32"/>
          <w:szCs w:val="32"/>
        </w:rPr>
        <w:tab/>
      </w:r>
    </w:p>
    <w:p>
      <w:pPr>
        <w:rPr>
          <w:rFonts w:ascii="仿宋_GB2312" w:hAnsi="华文宋体" w:eastAsia="仿宋_GB2312"/>
          <w:sz w:val="32"/>
          <w:szCs w:val="32"/>
        </w:rPr>
      </w:pPr>
    </w:p>
    <w:p>
      <w:pPr>
        <w:rPr>
          <w:rFonts w:ascii="仿宋_GB2312" w:hAnsi="华文宋体" w:eastAsia="仿宋_GB2312"/>
          <w:sz w:val="32"/>
          <w:szCs w:val="32"/>
        </w:rPr>
      </w:pPr>
    </w:p>
    <w:p>
      <w:pPr>
        <w:ind w:firstLine="160" w:firstLineChars="50"/>
        <w:rPr>
          <w:rFonts w:ascii="仿宋_GB2312" w:hAnsi="华文宋体" w:eastAsia="仿宋_GB2312"/>
          <w:sz w:val="32"/>
          <w:szCs w:val="32"/>
          <w:u w:val="single"/>
        </w:rPr>
      </w:pPr>
      <w:r>
        <w:rPr>
          <w:rFonts w:hint="eastAsia" w:ascii="仿宋_GB2312" w:hAnsi="华文宋体" w:eastAsia="仿宋_GB2312"/>
          <w:sz w:val="32"/>
          <w:szCs w:val="32"/>
        </w:rPr>
        <w:t>需方（甲方）：</w:t>
      </w:r>
      <w:r>
        <w:rPr>
          <w:rFonts w:hint="eastAsia" w:ascii="仿宋_GB2312" w:hAnsi="华文宋体" w:eastAsia="仿宋_GB2312"/>
          <w:sz w:val="32"/>
          <w:szCs w:val="32"/>
          <w:u w:val="single"/>
        </w:rPr>
        <w:t xml:space="preserve">贵州建工云富集采有限责任公司                        </w:t>
      </w:r>
    </w:p>
    <w:p>
      <w:pPr>
        <w:ind w:firstLine="1600" w:firstLineChars="500"/>
        <w:rPr>
          <w:rFonts w:ascii="仿宋_GB2312" w:hAnsi="华文宋体" w:eastAsia="仿宋_GB2312"/>
          <w:sz w:val="32"/>
          <w:szCs w:val="32"/>
        </w:rPr>
      </w:pPr>
    </w:p>
    <w:p>
      <w:pPr>
        <w:ind w:firstLine="160" w:firstLineChars="50"/>
        <w:rPr>
          <w:rFonts w:ascii="仿宋_GB2312" w:hAnsi="华文宋体" w:eastAsia="仿宋_GB2312"/>
          <w:sz w:val="32"/>
          <w:szCs w:val="32"/>
          <w:u w:val="single"/>
        </w:rPr>
      </w:pPr>
      <w:r>
        <w:rPr>
          <w:rFonts w:hint="eastAsia" w:ascii="仿宋_GB2312" w:hAnsi="华文宋体" w:eastAsia="仿宋_GB2312"/>
          <w:sz w:val="32"/>
          <w:szCs w:val="32"/>
        </w:rPr>
        <w:t>供方（乙方）：</w:t>
      </w:r>
      <w:r>
        <w:rPr>
          <w:rFonts w:hint="eastAsia" w:ascii="仿宋_GB2312" w:hAnsi="华文宋体" w:eastAsia="仿宋_GB2312"/>
          <w:sz w:val="32"/>
          <w:szCs w:val="32"/>
          <w:lang w:val="en-US" w:eastAsia="zh-CN"/>
        </w:rPr>
        <w:t xml:space="preserve"> </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u w:val="single"/>
          <w:lang w:val="en-US" w:eastAsia="zh-CN"/>
        </w:rPr>
        <w:t xml:space="preserve">                           </w:t>
      </w:r>
      <w:r>
        <w:rPr>
          <w:rFonts w:hint="eastAsia" w:ascii="仿宋_GB2312" w:hAnsi="华文宋体" w:eastAsia="仿宋_GB2312"/>
          <w:sz w:val="32"/>
          <w:szCs w:val="32"/>
          <w:u w:val="single"/>
        </w:rPr>
        <w:t xml:space="preserve">  </w:t>
      </w:r>
    </w:p>
    <w:p>
      <w:pPr>
        <w:ind w:firstLine="1600" w:firstLineChars="500"/>
        <w:rPr>
          <w:rFonts w:ascii="仿宋_GB2312" w:hAnsi="华文宋体" w:eastAsia="仿宋_GB2312"/>
          <w:sz w:val="32"/>
          <w:szCs w:val="32"/>
          <w:u w:val="single"/>
        </w:rPr>
      </w:pPr>
    </w:p>
    <w:p>
      <w:pPr>
        <w:ind w:firstLine="160" w:firstLineChars="50"/>
        <w:rPr>
          <w:rFonts w:ascii="仿宋_GB2312" w:hAnsi="华文宋体" w:eastAsia="仿宋_GB2312"/>
          <w:sz w:val="32"/>
          <w:szCs w:val="32"/>
          <w:u w:val="single"/>
        </w:rPr>
      </w:pPr>
      <w:r>
        <w:rPr>
          <w:rFonts w:hint="eastAsia" w:ascii="仿宋_GB2312" w:hAnsi="华文宋体" w:eastAsia="仿宋_GB2312"/>
          <w:sz w:val="32"/>
          <w:szCs w:val="32"/>
        </w:rPr>
        <w:t>签订地点：</w:t>
      </w:r>
      <w:r>
        <w:rPr>
          <w:rFonts w:hint="eastAsia" w:ascii="仿宋_GB2312" w:hAnsi="华文宋体" w:eastAsia="仿宋_GB2312"/>
          <w:sz w:val="32"/>
          <w:szCs w:val="32"/>
          <w:u w:val="single"/>
          <w:lang w:eastAsia="zh-CN"/>
        </w:rPr>
        <w:t>贵州省贵阳市云岩区</w:t>
      </w:r>
      <w:r>
        <w:rPr>
          <w:rFonts w:hint="eastAsia" w:ascii="仿宋_GB2312" w:hAnsi="华文宋体" w:eastAsia="仿宋_GB2312"/>
          <w:sz w:val="32"/>
          <w:szCs w:val="32"/>
          <w:u w:val="single"/>
          <w:lang w:val="en-US" w:eastAsia="zh-CN"/>
        </w:rPr>
        <w:t xml:space="preserve">  </w:t>
      </w:r>
      <w:r>
        <w:rPr>
          <w:rFonts w:hint="eastAsia" w:ascii="仿宋_GB2312" w:hAnsi="华文宋体" w:eastAsia="仿宋_GB2312"/>
          <w:sz w:val="32"/>
          <w:szCs w:val="32"/>
          <w:u w:val="single"/>
        </w:rPr>
        <w:t xml:space="preserve">                                </w:t>
      </w:r>
    </w:p>
    <w:p>
      <w:pPr>
        <w:ind w:firstLine="1600" w:firstLineChars="500"/>
        <w:rPr>
          <w:rFonts w:ascii="仿宋_GB2312" w:hAnsi="华文宋体" w:eastAsia="仿宋_GB2312"/>
          <w:sz w:val="32"/>
          <w:szCs w:val="32"/>
          <w:u w:val="single"/>
        </w:rPr>
      </w:pPr>
    </w:p>
    <w:p>
      <w:pPr>
        <w:ind w:firstLine="160" w:firstLineChars="50"/>
        <w:rPr>
          <w:rFonts w:ascii="仿宋_GB2312" w:hAnsi="华文宋体" w:eastAsia="仿宋_GB2312"/>
          <w:sz w:val="32"/>
          <w:szCs w:val="32"/>
          <w:u w:val="single"/>
        </w:rPr>
      </w:pPr>
      <w:r>
        <w:rPr>
          <w:rFonts w:hint="eastAsia" w:ascii="仿宋_GB2312" w:hAnsi="华文宋体" w:eastAsia="仿宋_GB2312"/>
          <w:sz w:val="32"/>
          <w:szCs w:val="32"/>
        </w:rPr>
        <w:t>签订时间：</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u w:val="single"/>
          <w:lang w:val="en-US" w:eastAsia="zh-CN"/>
        </w:rPr>
        <w:t xml:space="preserve">    </w:t>
      </w:r>
      <w:r>
        <w:rPr>
          <w:rFonts w:hint="eastAsia" w:ascii="仿宋_GB2312" w:hAnsi="华文宋体" w:eastAsia="仿宋_GB2312"/>
          <w:sz w:val="32"/>
          <w:szCs w:val="32"/>
          <w:u w:val="single"/>
        </w:rPr>
        <w:t>年</w:t>
      </w:r>
      <w:r>
        <w:rPr>
          <w:rFonts w:hint="eastAsia" w:ascii="仿宋_GB2312" w:hAnsi="华文宋体" w:eastAsia="仿宋_GB2312"/>
          <w:sz w:val="32"/>
          <w:szCs w:val="32"/>
          <w:u w:val="single"/>
          <w:lang w:val="en-US" w:eastAsia="zh-CN"/>
        </w:rPr>
        <w:t xml:space="preserve">  </w:t>
      </w:r>
      <w:r>
        <w:rPr>
          <w:rFonts w:hint="eastAsia" w:ascii="仿宋_GB2312" w:hAnsi="华文宋体" w:eastAsia="仿宋_GB2312"/>
          <w:sz w:val="32"/>
          <w:szCs w:val="32"/>
          <w:u w:val="single"/>
        </w:rPr>
        <w:t>月</w:t>
      </w:r>
      <w:r>
        <w:rPr>
          <w:rFonts w:hint="eastAsia" w:ascii="仿宋_GB2312" w:hAnsi="华文宋体" w:eastAsia="仿宋_GB2312"/>
          <w:sz w:val="32"/>
          <w:szCs w:val="32"/>
          <w:u w:val="single"/>
          <w:lang w:val="en-US" w:eastAsia="zh-CN"/>
        </w:rPr>
        <w:t xml:space="preserve">  </w:t>
      </w:r>
      <w:r>
        <w:rPr>
          <w:rFonts w:hint="eastAsia" w:ascii="仿宋_GB2312" w:hAnsi="华文宋体" w:eastAsia="仿宋_GB2312"/>
          <w:sz w:val="32"/>
          <w:szCs w:val="32"/>
          <w:u w:val="single"/>
        </w:rPr>
        <w:t xml:space="preserve">日              </w:t>
      </w:r>
    </w:p>
    <w:p>
      <w:pPr>
        <w:rPr>
          <w:rFonts w:ascii="华文宋体" w:hAnsi="华文宋体" w:eastAsia="华文宋体"/>
          <w:sz w:val="24"/>
        </w:rPr>
      </w:pPr>
    </w:p>
    <w:p>
      <w:pPr>
        <w:pStyle w:val="2"/>
        <w:rPr>
          <w:rFonts w:ascii="华文宋体" w:hAnsi="华文宋体" w:eastAsia="华文宋体"/>
          <w:sz w:val="24"/>
        </w:rPr>
      </w:pPr>
    </w:p>
    <w:p>
      <w:pPr>
        <w:pStyle w:val="2"/>
        <w:rPr>
          <w:rFonts w:ascii="华文宋体" w:hAnsi="华文宋体" w:eastAsia="华文宋体"/>
          <w:sz w:val="24"/>
        </w:rPr>
      </w:pPr>
    </w:p>
    <w:p>
      <w:pPr>
        <w:pStyle w:val="2"/>
        <w:rPr>
          <w:rFonts w:ascii="华文宋体" w:hAnsi="华文宋体" w:eastAsia="华文宋体"/>
          <w:sz w:val="24"/>
        </w:rPr>
      </w:pPr>
    </w:p>
    <w:p>
      <w:pPr>
        <w:ind w:firstLine="220" w:firstLineChars="50"/>
        <w:jc w:val="center"/>
        <w:rPr>
          <w:rFonts w:ascii="仿宋_GB2312" w:hAnsi="华文宋体" w:eastAsia="仿宋_GB2312"/>
          <w:sz w:val="44"/>
          <w:szCs w:val="44"/>
        </w:rPr>
      </w:pPr>
      <w:r>
        <w:rPr>
          <w:rFonts w:hint="eastAsia" w:ascii="仿宋_GB2312" w:hAnsi="华文宋体" w:eastAsia="仿宋_GB2312"/>
          <w:sz w:val="44"/>
          <w:szCs w:val="44"/>
          <w:lang w:val="en-US" w:eastAsia="zh-CN"/>
        </w:rPr>
        <w:t>钢材采购</w:t>
      </w:r>
      <w:r>
        <w:rPr>
          <w:rFonts w:hint="eastAsia" w:ascii="仿宋_GB2312" w:hAnsi="华文宋体" w:eastAsia="仿宋_GB2312"/>
          <w:sz w:val="44"/>
          <w:szCs w:val="44"/>
        </w:rPr>
        <w:t>合同</w:t>
      </w:r>
    </w:p>
    <w:p>
      <w:pPr>
        <w:ind w:firstLine="140" w:firstLineChars="50"/>
        <w:rPr>
          <w:rFonts w:hint="eastAsia" w:ascii="仿宋_GB2312" w:hAnsi="华文宋体" w:eastAsia="仿宋_GB2312"/>
          <w:sz w:val="28"/>
          <w:szCs w:val="28"/>
        </w:rPr>
      </w:pP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需方（甲方）：</w:t>
      </w:r>
      <w:r>
        <w:rPr>
          <w:rFonts w:hint="eastAsia" w:ascii="仿宋_GB2312" w:hAnsi="华文宋体" w:eastAsia="仿宋_GB2312"/>
          <w:sz w:val="28"/>
          <w:szCs w:val="28"/>
          <w:u w:val="single"/>
        </w:rPr>
        <w:t xml:space="preserve">贵州建工云富集采有限责任公司    </w:t>
      </w:r>
    </w:p>
    <w:p>
      <w:pPr>
        <w:ind w:firstLine="140" w:firstLineChars="50"/>
        <w:rPr>
          <w:rFonts w:ascii="仿宋_GB2312" w:hAnsi="华文宋体" w:eastAsia="仿宋_GB2312"/>
          <w:sz w:val="28"/>
          <w:szCs w:val="28"/>
          <w:u w:val="single"/>
        </w:rPr>
      </w:pPr>
      <w:r>
        <w:rPr>
          <w:rFonts w:hint="eastAsia" w:ascii="仿宋_GB2312" w:hAnsi="华文宋体" w:eastAsia="仿宋_GB2312"/>
          <w:sz w:val="28"/>
          <w:szCs w:val="28"/>
        </w:rPr>
        <w:t>供方（乙方）：</w:t>
      </w:r>
      <w:r>
        <w:rPr>
          <w:rFonts w:hint="eastAsia" w:ascii="仿宋_GB2312" w:hAnsi="华文宋体" w:eastAsia="仿宋_GB2312"/>
          <w:sz w:val="28"/>
          <w:szCs w:val="28"/>
          <w:u w:val="single"/>
        </w:rPr>
        <w:t xml:space="preserve">   </w:t>
      </w:r>
      <w:r>
        <w:rPr>
          <w:rFonts w:hint="eastAsia" w:ascii="仿宋_GB2312" w:hAnsi="华文宋体" w:eastAsia="仿宋_GB2312"/>
          <w:sz w:val="28"/>
          <w:szCs w:val="28"/>
          <w:u w:val="single"/>
          <w:lang w:val="en-US" w:eastAsia="zh-CN"/>
        </w:rPr>
        <w:t xml:space="preserve">                          </w:t>
      </w:r>
      <w:r>
        <w:rPr>
          <w:rFonts w:hint="eastAsia" w:ascii="仿宋_GB2312" w:hAnsi="华文宋体" w:eastAsia="仿宋_GB2312"/>
          <w:sz w:val="28"/>
          <w:szCs w:val="28"/>
          <w:u w:val="single"/>
        </w:rPr>
        <w:t xml:space="preserve">   </w:t>
      </w:r>
    </w:p>
    <w:p>
      <w:pPr>
        <w:ind w:firstLine="140" w:firstLineChars="50"/>
        <w:rPr>
          <w:rFonts w:hint="eastAsia" w:ascii="仿宋_GB2312" w:hAnsi="华文宋体" w:eastAsia="仿宋_GB2312"/>
          <w:sz w:val="28"/>
          <w:szCs w:val="28"/>
        </w:rPr>
      </w:pPr>
      <w:r>
        <w:rPr>
          <w:rFonts w:hint="eastAsia" w:ascii="仿宋_GB2312" w:hAnsi="华文宋体" w:eastAsia="仿宋_GB2312"/>
          <w:sz w:val="28"/>
          <w:szCs w:val="28"/>
        </w:rPr>
        <w:t xml:space="preserve">    根据《</w:t>
      </w:r>
      <w:r>
        <w:rPr>
          <w:rFonts w:hint="eastAsia" w:ascii="仿宋_GB2312" w:hAnsi="华文宋体" w:eastAsia="仿宋_GB2312"/>
          <w:sz w:val="28"/>
          <w:szCs w:val="28"/>
          <w:highlight w:val="none"/>
        </w:rPr>
        <w:t>中华人民共和国民法典</w:t>
      </w:r>
      <w:r>
        <w:rPr>
          <w:rFonts w:hint="eastAsia" w:ascii="仿宋_GB2312" w:hAnsi="华文宋体" w:eastAsia="仿宋_GB2312"/>
          <w:sz w:val="28"/>
          <w:szCs w:val="28"/>
        </w:rPr>
        <w:t>》、《中华人民共和国产品质量法》及其他相关法律法规的规定，甲乙双方在平等自愿的基础上经过充分协商，就甲方购买乙方钢材、小型型钢产品（以下简称“产品”）等相关事宜达成本合同。</w:t>
      </w:r>
    </w:p>
    <w:p>
      <w:pPr>
        <w:numPr>
          <w:ilvl w:val="0"/>
          <w:numId w:val="8"/>
        </w:numPr>
        <w:rPr>
          <w:rFonts w:ascii="仿宋_GB2312" w:hAnsi="华文宋体" w:eastAsia="仿宋_GB2312"/>
          <w:b/>
          <w:sz w:val="28"/>
          <w:szCs w:val="28"/>
        </w:rPr>
      </w:pPr>
      <w:r>
        <w:rPr>
          <w:rFonts w:hint="eastAsia" w:ascii="仿宋_GB2312" w:hAnsi="华文宋体" w:eastAsia="仿宋_GB2312"/>
          <w:b/>
          <w:sz w:val="28"/>
          <w:szCs w:val="28"/>
        </w:rPr>
        <w:t>产品</w:t>
      </w:r>
    </w:p>
    <w:p>
      <w:pPr>
        <w:spacing w:line="560" w:lineRule="exact"/>
        <w:ind w:firstLine="140" w:firstLineChars="50"/>
        <w:rPr>
          <w:rFonts w:ascii="仿宋_GB2312" w:hAnsi="华文宋体" w:eastAsia="仿宋_GB2312"/>
          <w:sz w:val="28"/>
          <w:szCs w:val="28"/>
          <w:highlight w:val="none"/>
        </w:rPr>
      </w:pPr>
      <w:r>
        <w:rPr>
          <w:rFonts w:hint="eastAsia" w:ascii="仿宋_GB2312" w:hAnsi="华文宋体" w:eastAsia="仿宋_GB2312"/>
          <w:sz w:val="28"/>
          <w:szCs w:val="28"/>
        </w:rPr>
        <w:t>1.1、本合同项下产品包括各类建筑用钢、小型型钢等；由于乙方供应钢材到各个项目部的用钢要求不完全相同，因此需按</w:t>
      </w:r>
      <w:r>
        <w:rPr>
          <w:rFonts w:hint="eastAsia" w:ascii="仿宋_GB2312" w:hAnsi="华文宋体" w:eastAsia="仿宋_GB2312"/>
          <w:sz w:val="28"/>
          <w:szCs w:val="28"/>
          <w:highlight w:val="none"/>
        </w:rPr>
        <w:t>《项目部材料供货申请单》（见附件1）进行确定。</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1.2、乙方保证对产品享有完整的所有权，保证任何第三方不对此主张任何权利，且保证产品是任何第三方不能依有关知识产权的规定主张任何权利的产品。</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1.3、乙方交付的产品，应随产品出厂合格证、产品质量检验报告（或产品质量证明书）等文字资料。</w:t>
      </w:r>
    </w:p>
    <w:p>
      <w:pPr>
        <w:pStyle w:val="8"/>
        <w:ind w:left="280" w:hanging="280" w:hangingChars="100"/>
        <w:rPr>
          <w:rFonts w:ascii="仿宋_GB2312" w:hAnsi="华文宋体" w:eastAsia="仿宋_GB2312"/>
          <w:sz w:val="28"/>
          <w:szCs w:val="28"/>
        </w:rPr>
      </w:pPr>
      <w:r>
        <w:rPr>
          <w:rFonts w:hint="eastAsia" w:ascii="仿宋_GB2312" w:hAnsi="华文宋体" w:eastAsia="仿宋_GB2312"/>
          <w:sz w:val="28"/>
          <w:szCs w:val="28"/>
        </w:rPr>
        <w:t>1.4、本公司预计钢材使用量暂估</w:t>
      </w:r>
      <w:r>
        <w:rPr>
          <w:rFonts w:hint="eastAsia" w:ascii="仿宋_GB2312" w:hAnsi="华文宋体" w:eastAsia="仿宋_GB2312"/>
          <w:b/>
          <w:bCs/>
          <w:sz w:val="28"/>
          <w:szCs w:val="28"/>
          <w:u w:val="single"/>
        </w:rPr>
        <w:t xml:space="preserve">  </w:t>
      </w:r>
      <w:r>
        <w:rPr>
          <w:rFonts w:hint="eastAsia" w:ascii="仿宋_GB2312" w:hAnsi="华文宋体" w:eastAsia="仿宋_GB2312"/>
          <w:b/>
          <w:bCs/>
          <w:sz w:val="28"/>
          <w:szCs w:val="28"/>
          <w:u w:val="single"/>
          <w:lang w:val="en-US" w:eastAsia="zh-CN"/>
        </w:rPr>
        <w:t xml:space="preserve">   </w:t>
      </w:r>
      <w:r>
        <w:rPr>
          <w:rFonts w:hint="eastAsia" w:ascii="仿宋_GB2312" w:hAnsi="华文宋体" w:eastAsia="仿宋_GB2312"/>
          <w:b/>
          <w:bCs/>
          <w:sz w:val="28"/>
          <w:szCs w:val="28"/>
          <w:u w:val="single"/>
        </w:rPr>
        <w:t xml:space="preserve"> </w:t>
      </w:r>
      <w:r>
        <w:rPr>
          <w:rFonts w:hint="eastAsia" w:ascii="仿宋_GB2312" w:hAnsi="华文宋体" w:eastAsia="仿宋_GB2312"/>
          <w:sz w:val="28"/>
          <w:szCs w:val="28"/>
        </w:rPr>
        <w:t>吨，</w:t>
      </w:r>
      <w:r>
        <w:rPr>
          <w:rFonts w:hint="eastAsia" w:ascii="仿宋_GB2312" w:hAnsi="华文宋体" w:eastAsia="仿宋_GB2312" w:cs="Times New Roman"/>
          <w:color w:val="000000" w:themeColor="text1"/>
          <w:kern w:val="2"/>
          <w:sz w:val="28"/>
          <w:szCs w:val="28"/>
          <w:highlight w:val="none"/>
          <w:u w:val="none"/>
          <w:lang w:val="en-US" w:eastAsia="zh-CN" w:bidi="ar-SA"/>
          <w14:textFill>
            <w14:solidFill>
              <w14:schemeClr w14:val="tx1"/>
            </w14:solidFill>
          </w14:textFill>
        </w:rPr>
        <w:t>合同暂估金额：</w:t>
      </w:r>
      <w:r>
        <w:rPr>
          <w:rFonts w:hint="eastAsia" w:ascii="仿宋_GB2312" w:hAnsi="华文宋体"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元</w:t>
      </w:r>
      <w:r>
        <w:rPr>
          <w:rFonts w:hint="eastAsia" w:ascii="仿宋_GB2312" w:hAnsi="华文宋体" w:eastAsia="仿宋_GB2312" w:cs="Times New Roman"/>
          <w:color w:val="000000" w:themeColor="text1"/>
          <w:kern w:val="2"/>
          <w:sz w:val="28"/>
          <w:szCs w:val="28"/>
          <w:highlight w:val="none"/>
          <w:u w:val="none"/>
          <w:lang w:val="en-US" w:eastAsia="zh-CN" w:bidi="ar-SA"/>
          <w14:textFill>
            <w14:solidFill>
              <w14:schemeClr w14:val="tx1"/>
            </w14:solidFill>
          </w14:textFill>
        </w:rPr>
        <w:t>，大写：元整（含13%增值税），其中不含税总金额：</w:t>
      </w:r>
      <w:r>
        <w:rPr>
          <w:rFonts w:hint="eastAsia" w:ascii="仿宋_GB2312" w:hAnsi="华文宋体"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宋体" w:eastAsia="仿宋_GB2312" w:cs="Times New Roman"/>
          <w:color w:val="000000" w:themeColor="text1"/>
          <w:kern w:val="2"/>
          <w:sz w:val="28"/>
          <w:szCs w:val="28"/>
          <w:highlight w:val="none"/>
          <w:u w:val="none"/>
          <w:lang w:val="en-US" w:eastAsia="zh-CN" w:bidi="ar-SA"/>
          <w14:textFill>
            <w14:solidFill>
              <w14:schemeClr w14:val="tx1"/>
            </w14:solidFill>
          </w14:textFill>
        </w:rPr>
        <w:t>元，税费</w:t>
      </w:r>
      <w:r>
        <w:rPr>
          <w:rFonts w:hint="eastAsia" w:ascii="仿宋_GB2312" w:hAnsi="华文宋体"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宋体" w:eastAsia="仿宋_GB2312" w:cs="Times New Roman"/>
          <w:color w:val="000000" w:themeColor="text1"/>
          <w:kern w:val="2"/>
          <w:sz w:val="28"/>
          <w:szCs w:val="28"/>
          <w:highlight w:val="none"/>
          <w:u w:val="none"/>
          <w:lang w:val="en-US" w:eastAsia="zh-CN" w:bidi="ar-SA"/>
          <w14:textFill>
            <w14:solidFill>
              <w14:schemeClr w14:val="tx1"/>
            </w14:solidFill>
          </w14:textFill>
        </w:rPr>
        <w:t>元。</w:t>
      </w:r>
    </w:p>
    <w:p>
      <w:pPr>
        <w:numPr>
          <w:ilvl w:val="0"/>
          <w:numId w:val="0"/>
        </w:numPr>
        <w:spacing w:line="580" w:lineRule="exact"/>
        <w:ind w:firstLine="560" w:firstLineChars="200"/>
        <w:rPr>
          <w:rFonts w:hint="eastAsia" w:ascii="仿宋_GB2312" w:hAnsi="华文宋体" w:eastAsia="仿宋_GB2312" w:cs="Times New Roman"/>
          <w:sz w:val="28"/>
          <w:szCs w:val="28"/>
          <w:highlight w:val="none"/>
          <w:lang w:val="en-US" w:eastAsia="zh-CN"/>
        </w:rPr>
      </w:pPr>
      <w:r>
        <w:rPr>
          <w:rFonts w:hint="eastAsia" w:ascii="仿宋_GB2312" w:hAnsi="华文宋体" w:eastAsia="仿宋_GB2312" w:cs="Times New Roman"/>
          <w:sz w:val="28"/>
          <w:szCs w:val="28"/>
          <w:highlight w:val="none"/>
        </w:rPr>
        <w:t>1.4.1</w:t>
      </w:r>
      <w:r>
        <w:rPr>
          <w:rFonts w:hint="eastAsia" w:ascii="仿宋_GB2312" w:hAnsi="华文宋体" w:eastAsia="仿宋_GB2312" w:cs="Times New Roman"/>
          <w:sz w:val="28"/>
          <w:szCs w:val="28"/>
          <w:highlight w:val="none"/>
          <w:lang w:eastAsia="zh-CN"/>
        </w:rPr>
        <w:t>、</w:t>
      </w:r>
      <w:r>
        <w:rPr>
          <w:rFonts w:hint="eastAsia" w:ascii="仿宋_GB2312" w:hAnsi="华文宋体" w:eastAsia="仿宋_GB2312" w:cs="Times New Roman"/>
          <w:sz w:val="28"/>
          <w:szCs w:val="28"/>
          <w:highlight w:val="none"/>
          <w:lang w:val="en-US" w:eastAsia="zh-CN"/>
        </w:rPr>
        <w:t>本合同项下产品单价经甲乙双方协商</w:t>
      </w:r>
    </w:p>
    <w:p>
      <w:pPr>
        <w:numPr>
          <w:ilvl w:val="0"/>
          <w:numId w:val="0"/>
        </w:numPr>
        <w:spacing w:line="580" w:lineRule="exact"/>
        <w:ind w:firstLine="562" w:firstLineChars="200"/>
        <w:rPr>
          <w:rFonts w:hint="eastAsia" w:ascii="仿宋_GB2312" w:hAnsi="华文宋体" w:eastAsia="仿宋_GB2312" w:cs="Times New Roman"/>
          <w:b/>
          <w:bCs/>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月结模式：</w:t>
      </w:r>
    </w:p>
    <w:p>
      <w:pPr>
        <w:numPr>
          <w:ilvl w:val="0"/>
          <w:numId w:val="0"/>
        </w:numPr>
        <w:spacing w:line="580" w:lineRule="exact"/>
        <w:ind w:firstLine="562" w:firstLineChars="200"/>
        <w:rPr>
          <w:rFonts w:hint="eastAsia" w:ascii="仿宋_GB2312" w:hAnsi="华文宋体" w:eastAsia="仿宋_GB2312" w:cs="Times New Roman"/>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以过磅计量的</w:t>
      </w:r>
      <w:r>
        <w:rPr>
          <w:rFonts w:hint="eastAsia" w:ascii="仿宋_GB2312" w:hAnsi="华文宋体" w:eastAsia="仿宋_GB2312" w:cs="Times New Roman"/>
          <w:sz w:val="28"/>
          <w:szCs w:val="28"/>
          <w:highlight w:val="none"/>
          <w:lang w:val="en-US" w:eastAsia="zh-CN"/>
        </w:rPr>
        <w:t>，按照《我的钢铁网》上贵阳地区出货当日第一次发布的对应钢材品牌网价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为结算依据。没有网价的品牌以《我的钢铁网》上贵阳地区出货当日第一次发布的</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w:t>
      </w:r>
    </w:p>
    <w:p>
      <w:pPr>
        <w:numPr>
          <w:ilvl w:val="0"/>
          <w:numId w:val="0"/>
        </w:numPr>
        <w:spacing w:line="580" w:lineRule="exact"/>
        <w:ind w:firstLine="562" w:firstLineChars="200"/>
        <w:rPr>
          <w:rFonts w:hint="eastAsia" w:ascii="仿宋_GB2312" w:hAnsi="华文宋体" w:eastAsia="仿宋_GB2312" w:cs="Times New Roman"/>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以理论计量的</w:t>
      </w:r>
      <w:r>
        <w:rPr>
          <w:rFonts w:hint="eastAsia" w:ascii="仿宋_GB2312" w:hAnsi="华文宋体" w:eastAsia="仿宋_GB2312" w:cs="Times New Roman"/>
          <w:sz w:val="28"/>
          <w:szCs w:val="28"/>
          <w:highlight w:val="none"/>
          <w:lang w:val="en-US" w:eastAsia="zh-CN"/>
        </w:rPr>
        <w:t>，按照《我的钢铁网》上贵阳地区出货当日第一次发布的对应钢材品牌网价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为结算依据。没有网价的品牌以《我的钢铁网》上贵阳地区出货当日第一次发布的</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w:t>
      </w:r>
    </w:p>
    <w:p>
      <w:pPr>
        <w:numPr>
          <w:ilvl w:val="0"/>
          <w:numId w:val="0"/>
        </w:numPr>
        <w:spacing w:line="580" w:lineRule="exact"/>
        <w:ind w:firstLine="562" w:firstLineChars="200"/>
        <w:rPr>
          <w:rFonts w:hint="eastAsia" w:ascii="仿宋_GB2312" w:hAnsi="华文宋体" w:eastAsia="仿宋_GB2312" w:cs="Times New Roman"/>
          <w:b/>
          <w:bCs/>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预付模式：</w:t>
      </w:r>
    </w:p>
    <w:p>
      <w:pPr>
        <w:numPr>
          <w:ilvl w:val="0"/>
          <w:numId w:val="0"/>
        </w:numPr>
        <w:spacing w:line="580" w:lineRule="exact"/>
        <w:ind w:firstLine="562" w:firstLineChars="200"/>
        <w:rPr>
          <w:rFonts w:hint="eastAsia" w:ascii="仿宋_GB2312" w:hAnsi="华文宋体" w:eastAsia="仿宋_GB2312" w:cs="Times New Roman"/>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以过磅计量的</w:t>
      </w:r>
      <w:r>
        <w:rPr>
          <w:rFonts w:hint="eastAsia" w:ascii="仿宋_GB2312" w:hAnsi="华文宋体" w:eastAsia="仿宋_GB2312" w:cs="Times New Roman"/>
          <w:sz w:val="28"/>
          <w:szCs w:val="28"/>
          <w:highlight w:val="none"/>
          <w:lang w:val="en-US" w:eastAsia="zh-CN"/>
        </w:rPr>
        <w:t>，按照《我的钢铁网》上贵阳地区出货当日第一次发布的对应钢材品牌网价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为结算依据。没有网价的品牌以《我的钢铁网》上贵阳地区出货当日第一次发布的</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w:t>
      </w:r>
    </w:p>
    <w:p>
      <w:pPr>
        <w:numPr>
          <w:ilvl w:val="0"/>
          <w:numId w:val="0"/>
        </w:numPr>
        <w:spacing w:line="580" w:lineRule="exact"/>
        <w:ind w:firstLine="562" w:firstLineChars="200"/>
        <w:rPr>
          <w:rFonts w:hint="eastAsia" w:ascii="仿宋_GB2312" w:hAnsi="华文宋体" w:eastAsia="仿宋_GB2312" w:cs="Times New Roman"/>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以理论计量的</w:t>
      </w:r>
      <w:r>
        <w:rPr>
          <w:rFonts w:hint="eastAsia" w:ascii="仿宋_GB2312" w:hAnsi="华文宋体" w:eastAsia="仿宋_GB2312" w:cs="Times New Roman"/>
          <w:sz w:val="28"/>
          <w:szCs w:val="28"/>
          <w:highlight w:val="none"/>
          <w:lang w:val="en-US" w:eastAsia="zh-CN"/>
        </w:rPr>
        <w:t>，按照《我的钢铁网》上贵阳地区出货当日第一次发布的对应钢材品牌网价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为结算依据。没有网价的品牌以《我的钢铁网》上贵阳地区出货当日第一次发布的</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钢材品牌网价</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为结算依据。</w:t>
      </w:r>
    </w:p>
    <w:p>
      <w:pPr>
        <w:numPr>
          <w:ilvl w:val="0"/>
          <w:numId w:val="0"/>
        </w:numPr>
        <w:spacing w:line="580" w:lineRule="exact"/>
        <w:ind w:firstLine="562" w:firstLineChars="200"/>
        <w:rPr>
          <w:rFonts w:hint="eastAsia" w:ascii="仿宋_GB2312" w:hAnsi="华文宋体" w:eastAsia="仿宋_GB2312" w:cs="Times New Roman"/>
          <w:sz w:val="28"/>
          <w:szCs w:val="28"/>
          <w:highlight w:val="none"/>
          <w:lang w:val="en-US" w:eastAsia="zh-CN"/>
        </w:rPr>
      </w:pPr>
      <w:r>
        <w:rPr>
          <w:rFonts w:hint="eastAsia" w:ascii="仿宋_GB2312" w:hAnsi="华文宋体" w:eastAsia="仿宋_GB2312" w:cs="Times New Roman"/>
          <w:b/>
          <w:bCs/>
          <w:sz w:val="28"/>
          <w:szCs w:val="28"/>
          <w:highlight w:val="none"/>
          <w:lang w:val="en-US" w:eastAsia="zh-CN"/>
        </w:rPr>
        <w:t>垫资模式：</w:t>
      </w:r>
    </w:p>
    <w:p>
      <w:pPr>
        <w:numPr>
          <w:ilvl w:val="0"/>
          <w:numId w:val="0"/>
        </w:numPr>
        <w:spacing w:line="580" w:lineRule="exact"/>
        <w:ind w:firstLine="560" w:firstLineChars="200"/>
        <w:rPr>
          <w:rFonts w:ascii="仿宋_GB2312" w:hAnsi="华文宋体" w:eastAsia="仿宋_GB2312" w:cs="Times New Roman"/>
          <w:sz w:val="28"/>
          <w:szCs w:val="28"/>
          <w:highlight w:val="none"/>
        </w:rPr>
      </w:pPr>
      <w:r>
        <w:rPr>
          <w:rFonts w:hint="eastAsia" w:ascii="仿宋_GB2312" w:hAnsi="华文宋体" w:eastAsia="仿宋_GB2312" w:cs="Times New Roman"/>
          <w:sz w:val="28"/>
          <w:szCs w:val="28"/>
          <w:highlight w:val="none"/>
          <w:lang w:val="en-US" w:eastAsia="zh-CN"/>
        </w:rPr>
        <w:t>垫资90天（  个月），每月25-28号进行对账，对账后</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个自然日付清所有款项，若到期付款限内贵公司未能付清所有款项，则超出付款期限按年息</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%计算资金占用费，所送产品结算方式按照《我的钢铁网》上贵阳地区出货当日第一次发布的</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sz w:val="28"/>
          <w:szCs w:val="28"/>
          <w:highlight w:val="none"/>
          <w:lang w:val="en-US" w:eastAsia="zh-CN"/>
        </w:rPr>
        <w:t>钢材品牌网价</w:t>
      </w:r>
      <w:r>
        <w:rPr>
          <w:rFonts w:hint="eastAsia" w:ascii="仿宋_GB2312" w:hAnsi="华文宋体" w:eastAsia="仿宋_GB2312" w:cs="Times New Roman"/>
          <w:sz w:val="28"/>
          <w:szCs w:val="28"/>
          <w:highlight w:val="none"/>
          <w:u w:val="none"/>
          <w:lang w:val="en-US" w:eastAsia="zh-CN"/>
        </w:rPr>
        <w:t xml:space="preserve">  </w:t>
      </w:r>
      <w:r>
        <w:rPr>
          <w:rFonts w:hint="eastAsia" w:ascii="仿宋_GB2312" w:hAnsi="华文宋体" w:eastAsia="仿宋_GB2312" w:cs="Times New Roman"/>
          <w:sz w:val="28"/>
          <w:szCs w:val="28"/>
          <w:highlight w:val="none"/>
          <w:u w:val="single"/>
          <w:lang w:val="en-US" w:eastAsia="zh-CN"/>
        </w:rPr>
        <w:t xml:space="preserve">        </w:t>
      </w:r>
      <w:r>
        <w:rPr>
          <w:rFonts w:hint="eastAsia" w:ascii="仿宋_GB2312" w:hAnsi="华文宋体" w:eastAsia="仿宋_GB2312" w:cs="Times New Roman"/>
          <w:b/>
          <w:bCs/>
          <w:sz w:val="28"/>
          <w:szCs w:val="28"/>
          <w:highlight w:val="none"/>
          <w:u w:val="single"/>
          <w:lang w:val="en-US" w:eastAsia="zh-CN"/>
        </w:rPr>
        <w:t>元/吨</w:t>
      </w:r>
      <w:r>
        <w:rPr>
          <w:rFonts w:hint="eastAsia" w:ascii="仿宋_GB2312" w:hAnsi="华文宋体" w:eastAsia="仿宋_GB2312" w:cs="Times New Roman"/>
          <w:sz w:val="28"/>
          <w:szCs w:val="28"/>
          <w:highlight w:val="none"/>
          <w:lang w:val="en-US" w:eastAsia="zh-CN"/>
        </w:rPr>
        <w:t>结算。</w:t>
      </w:r>
    </w:p>
    <w:p>
      <w:pPr>
        <w:spacing w:line="560" w:lineRule="exact"/>
        <w:rPr>
          <w:rFonts w:hint="eastAsia" w:ascii="仿宋_GB2312" w:hAnsi="华文宋体" w:eastAsia="仿宋_GB2312"/>
          <w:color w:val="auto"/>
          <w:sz w:val="28"/>
          <w:szCs w:val="28"/>
        </w:rPr>
      </w:pPr>
      <w:r>
        <w:rPr>
          <w:rFonts w:hint="eastAsia" w:ascii="仿宋_GB2312" w:hAnsi="华文宋体" w:eastAsia="仿宋_GB2312"/>
          <w:sz w:val="28"/>
          <w:szCs w:val="28"/>
          <w:highlight w:val="none"/>
        </w:rPr>
        <w:t>1</w:t>
      </w:r>
      <w:r>
        <w:rPr>
          <w:rFonts w:ascii="仿宋_GB2312" w:hAnsi="华文宋体" w:eastAsia="仿宋_GB2312"/>
          <w:sz w:val="28"/>
          <w:szCs w:val="28"/>
          <w:highlight w:val="none"/>
        </w:rPr>
        <w:t>.4.2</w:t>
      </w:r>
      <w:r>
        <w:rPr>
          <w:rFonts w:hint="eastAsia" w:ascii="仿宋_GB2312" w:hAnsi="华文宋体" w:eastAsia="仿宋_GB2312"/>
          <w:sz w:val="28"/>
          <w:szCs w:val="28"/>
          <w:highlight w:val="none"/>
          <w:lang w:eastAsia="zh-CN"/>
        </w:rPr>
        <w:t>、</w:t>
      </w:r>
      <w:r>
        <w:rPr>
          <w:rFonts w:hint="eastAsia" w:ascii="仿宋_GB2312" w:hAnsi="华文宋体" w:eastAsia="仿宋_GB2312"/>
          <w:sz w:val="28"/>
          <w:szCs w:val="28"/>
          <w:highlight w:val="none"/>
        </w:rPr>
        <w:t>如出货当日如为周六，则参照出货前一天（周五）的网价；如出货当日为周日，则参照下周一的网价。</w:t>
      </w:r>
    </w:p>
    <w:p>
      <w:pPr>
        <w:numPr>
          <w:ilvl w:val="0"/>
          <w:numId w:val="0"/>
        </w:numPr>
        <w:spacing w:line="580" w:lineRule="exact"/>
        <w:rPr>
          <w:rFonts w:hint="eastAsia" w:ascii="仿宋_GB2312" w:hAnsi="华文宋体" w:eastAsia="仿宋_GB2312"/>
          <w:color w:val="auto"/>
          <w:sz w:val="28"/>
          <w:szCs w:val="28"/>
        </w:rPr>
      </w:pPr>
      <w:r>
        <w:rPr>
          <w:rFonts w:ascii="仿宋_GB2312" w:hAnsi="华文宋体" w:eastAsia="仿宋_GB2312"/>
          <w:sz w:val="28"/>
          <w:szCs w:val="28"/>
          <w:highlight w:val="none"/>
        </w:rPr>
        <w:t>1.4.3</w:t>
      </w:r>
      <w:r>
        <w:rPr>
          <w:rFonts w:hint="eastAsia" w:ascii="仿宋_GB2312" w:hAnsi="华文宋体" w:eastAsia="仿宋_GB2312"/>
          <w:sz w:val="28"/>
          <w:szCs w:val="28"/>
          <w:highlight w:val="none"/>
          <w:lang w:eastAsia="zh-CN"/>
        </w:rPr>
        <w:t>、</w:t>
      </w:r>
      <w:r>
        <w:rPr>
          <w:rFonts w:hint="eastAsia" w:ascii="仿宋_GB2312" w:hAnsi="华文宋体" w:eastAsia="仿宋_GB2312"/>
          <w:sz w:val="28"/>
          <w:szCs w:val="28"/>
        </w:rPr>
        <w:t>结算数量按照甲方实际接收的数量为准；结算时的价款按照单价乘以结算数量计算。</w:t>
      </w:r>
      <w:r>
        <w:rPr>
          <w:rFonts w:hint="eastAsia" w:ascii="仿宋_GB2312" w:hAnsi="华文宋体" w:eastAsia="仿宋_GB2312"/>
          <w:sz w:val="28"/>
          <w:szCs w:val="28"/>
          <w:highlight w:val="none"/>
        </w:rPr>
        <w:t>运杂费、吊装费按实际工地位置进行核算</w:t>
      </w:r>
      <w:r>
        <w:rPr>
          <w:rFonts w:hint="eastAsia" w:ascii="仿宋_GB2312" w:hAnsi="华文宋体" w:eastAsia="仿宋_GB2312"/>
          <w:color w:val="000000"/>
          <w:sz w:val="28"/>
          <w:szCs w:val="28"/>
          <w:highlight w:val="none"/>
        </w:rPr>
        <w:t>，</w:t>
      </w:r>
      <w:r>
        <w:rPr>
          <w:rFonts w:hint="eastAsia" w:ascii="仿宋_GB2312" w:hAnsi="华文宋体" w:eastAsia="仿宋_GB2312"/>
          <w:sz w:val="28"/>
          <w:szCs w:val="28"/>
          <w:highlight w:val="none"/>
        </w:rPr>
        <w:t>由乙方先行垫付，甲方承担，运杂费按照附件《材料运杂费、吊装费收取标准》（附件2）进行结算。</w:t>
      </w:r>
    </w:p>
    <w:p>
      <w:pPr>
        <w:numPr>
          <w:ilvl w:val="0"/>
          <w:numId w:val="0"/>
        </w:numPr>
        <w:spacing w:line="580" w:lineRule="exact"/>
        <w:rPr>
          <w:rFonts w:ascii="仿宋_GB2312" w:hAnsi="华文宋体" w:eastAsia="仿宋_GB2312"/>
          <w:sz w:val="28"/>
          <w:szCs w:val="28"/>
          <w:highlight w:val="none"/>
        </w:rPr>
      </w:pPr>
      <w:r>
        <w:rPr>
          <w:rFonts w:hint="eastAsia" w:ascii="仿宋_GB2312" w:hAnsi="华文宋体" w:eastAsia="仿宋_GB2312"/>
          <w:sz w:val="28"/>
          <w:szCs w:val="28"/>
          <w:highlight w:val="none"/>
        </w:rPr>
        <w:t>1</w:t>
      </w:r>
      <w:r>
        <w:rPr>
          <w:rFonts w:ascii="仿宋_GB2312" w:hAnsi="华文宋体" w:eastAsia="仿宋_GB2312"/>
          <w:sz w:val="28"/>
          <w:szCs w:val="28"/>
          <w:highlight w:val="none"/>
        </w:rPr>
        <w:t>.5</w:t>
      </w:r>
      <w:r>
        <w:rPr>
          <w:rFonts w:hint="eastAsia" w:ascii="仿宋_GB2312" w:hAnsi="华文宋体" w:eastAsia="仿宋_GB2312"/>
          <w:sz w:val="28"/>
          <w:szCs w:val="28"/>
          <w:highlight w:val="none"/>
          <w:lang w:eastAsia="zh-CN"/>
        </w:rPr>
        <w:t>、</w:t>
      </w:r>
      <w:r>
        <w:rPr>
          <w:rFonts w:hint="eastAsia" w:ascii="仿宋_GB2312" w:hAnsi="华文宋体" w:eastAsia="仿宋_GB2312"/>
          <w:sz w:val="28"/>
          <w:szCs w:val="28"/>
          <w:highlight w:val="none"/>
        </w:rPr>
        <w:t>结算时甲方出具的银行承兑汇票等一切银行金融产品（不收商业承兑）</w:t>
      </w:r>
      <w:r>
        <w:rPr>
          <w:rFonts w:hint="eastAsia" w:ascii="仿宋_GB2312" w:hAnsi="华文宋体" w:eastAsia="仿宋_GB2312"/>
          <w:color w:val="FF0000"/>
          <w:sz w:val="28"/>
          <w:szCs w:val="28"/>
          <w:highlight w:val="none"/>
          <w:lang w:eastAsia="zh-CN"/>
        </w:rPr>
        <w:t>，</w:t>
      </w:r>
      <w:r>
        <w:rPr>
          <w:rFonts w:hint="eastAsia" w:ascii="仿宋_GB2312" w:hAnsi="华文宋体" w:eastAsia="仿宋_GB2312"/>
          <w:color w:val="FF0000"/>
          <w:sz w:val="28"/>
          <w:szCs w:val="28"/>
          <w:highlight w:val="none"/>
        </w:rPr>
        <w:t>乙方在贴息前，需事先与甲方沟通征得甲方确认贴息及相关费用（若甲方认为乙方贴息及相关费用过高的，由甲方向乙方推荐资金方进行贴息），甲方收到乙方该贴息及相关费用清单及收据，由甲方</w:t>
      </w:r>
      <w:r>
        <w:rPr>
          <w:rFonts w:hint="eastAsia" w:ascii="仿宋_GB2312" w:hAnsi="华文宋体" w:eastAsia="仿宋_GB2312"/>
          <w:color w:val="FF0000"/>
          <w:sz w:val="28"/>
          <w:szCs w:val="28"/>
          <w:highlight w:val="none"/>
          <w:lang w:eastAsia="zh-CN"/>
        </w:rPr>
        <w:t>确认</w:t>
      </w:r>
      <w:r>
        <w:rPr>
          <w:rFonts w:hint="eastAsia" w:ascii="仿宋_GB2312" w:hAnsi="华文宋体" w:eastAsia="仿宋_GB2312"/>
          <w:color w:val="FF0000"/>
          <w:sz w:val="28"/>
          <w:szCs w:val="28"/>
          <w:highlight w:val="none"/>
        </w:rPr>
        <w:t>无误后2个月内付清。</w:t>
      </w:r>
    </w:p>
    <w:p>
      <w:pPr>
        <w:rPr>
          <w:rFonts w:hint="eastAsia" w:ascii="仿宋_GB2312" w:hAnsi="华文宋体" w:eastAsia="仿宋_GB2312"/>
          <w:color w:val="auto"/>
          <w:sz w:val="28"/>
          <w:szCs w:val="28"/>
          <w:lang w:val="en-US" w:eastAsia="zh-CN"/>
        </w:rPr>
      </w:pPr>
      <w:r>
        <w:rPr>
          <w:rFonts w:hint="eastAsia" w:ascii="仿宋_GB2312" w:hAnsi="华文宋体" w:eastAsia="仿宋_GB2312"/>
          <w:sz w:val="28"/>
          <w:szCs w:val="28"/>
          <w:highlight w:val="none"/>
        </w:rPr>
        <w:t>1.</w:t>
      </w:r>
      <w:r>
        <w:rPr>
          <w:rFonts w:ascii="仿宋_GB2312" w:hAnsi="华文宋体" w:eastAsia="仿宋_GB2312"/>
          <w:sz w:val="28"/>
          <w:szCs w:val="28"/>
          <w:highlight w:val="none"/>
        </w:rPr>
        <w:t>6</w:t>
      </w:r>
      <w:r>
        <w:rPr>
          <w:rFonts w:hint="eastAsia" w:ascii="仿宋_GB2312" w:hAnsi="华文宋体" w:eastAsia="仿宋_GB2312"/>
          <w:sz w:val="28"/>
          <w:szCs w:val="28"/>
          <w:highlight w:val="none"/>
          <w:lang w:eastAsia="zh-CN"/>
        </w:rPr>
        <w:t>、</w:t>
      </w:r>
      <w:r>
        <w:rPr>
          <w:rFonts w:hint="eastAsia" w:ascii="仿宋_GB2312" w:hAnsi="华文宋体" w:eastAsia="仿宋_GB2312"/>
          <w:sz w:val="28"/>
          <w:szCs w:val="28"/>
          <w:highlight w:val="none"/>
        </w:rPr>
        <w:t>乙方需保证按《项目部主材供货计划单》所列明的规格、数量、生产厂家等要求进行供货，所供货厂家范围名单：</w:t>
      </w:r>
      <w:r>
        <w:rPr>
          <w:rFonts w:hint="eastAsia" w:ascii="仿宋_GB2312" w:hAnsi="华文宋体" w:eastAsia="仿宋_GB2312"/>
          <w:b/>
          <w:bCs/>
          <w:sz w:val="28"/>
          <w:szCs w:val="28"/>
          <w:highlight w:val="none"/>
        </w:rPr>
        <w:t>水钢、昆钢、德威、玉昆、巴山、双菱、桂万钢、博长、博升、柳钢、袁河、湘钢、兴晋钢、建邦、上党、呈钢、燕山牌、禹龙牌</w:t>
      </w:r>
      <w:r>
        <w:rPr>
          <w:rFonts w:hint="eastAsia" w:ascii="仿宋_GB2312" w:hAnsi="华文宋体" w:eastAsia="仿宋_GB2312"/>
          <w:sz w:val="28"/>
          <w:szCs w:val="28"/>
          <w:highlight w:val="none"/>
        </w:rPr>
        <w:t>。</w:t>
      </w:r>
    </w:p>
    <w:p>
      <w:pPr>
        <w:ind w:firstLine="141" w:firstLineChars="50"/>
        <w:rPr>
          <w:rFonts w:ascii="仿宋_GB2312" w:hAnsi="华文宋体" w:eastAsia="仿宋_GB2312"/>
          <w:b/>
          <w:sz w:val="28"/>
          <w:szCs w:val="28"/>
        </w:rPr>
      </w:pPr>
      <w:r>
        <w:rPr>
          <w:rFonts w:hint="eastAsia" w:ascii="仿宋_GB2312" w:hAnsi="华文宋体" w:eastAsia="仿宋_GB2312"/>
          <w:b/>
          <w:sz w:val="28"/>
          <w:szCs w:val="28"/>
        </w:rPr>
        <w:t>2、产品交付</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2.1、乙方向甲方交付产品的时间依据《销售单》双方签字时间确定。</w:t>
      </w:r>
    </w:p>
    <w:p>
      <w:pPr>
        <w:spacing w:line="500" w:lineRule="exact"/>
        <w:ind w:firstLine="140" w:firstLineChars="50"/>
        <w:rPr>
          <w:rFonts w:ascii="仿宋_GB2312" w:hAnsi="华文宋体" w:eastAsia="仿宋_GB2312"/>
          <w:sz w:val="28"/>
          <w:szCs w:val="28"/>
        </w:rPr>
      </w:pPr>
      <w:r>
        <w:rPr>
          <w:rFonts w:hint="eastAsia" w:ascii="仿宋_GB2312" w:hAnsi="华文宋体" w:eastAsia="仿宋_GB2312"/>
          <w:sz w:val="28"/>
          <w:szCs w:val="28"/>
        </w:rPr>
        <w:t>2.2、乙方应当将符合本合同约定的产品运送至甲</w:t>
      </w:r>
      <w:r>
        <w:rPr>
          <w:rFonts w:hint="eastAsia" w:ascii="仿宋_GB2312" w:hAnsi="华文宋体" w:eastAsia="仿宋_GB2312"/>
          <w:color w:val="auto"/>
          <w:sz w:val="28"/>
          <w:szCs w:val="28"/>
        </w:rPr>
        <w:t>方</w:t>
      </w:r>
      <w:r>
        <w:rPr>
          <w:rFonts w:hint="eastAsia" w:ascii="仿宋_GB2312" w:hAnsi="华文宋体" w:eastAsia="仿宋_GB2312"/>
          <w:b/>
          <w:bCs/>
          <w:color w:val="auto"/>
          <w:sz w:val="28"/>
          <w:szCs w:val="28"/>
          <w:lang w:val="en-US" w:eastAsia="zh-CN"/>
        </w:rPr>
        <w:t>指定的</w:t>
      </w:r>
      <w:r>
        <w:rPr>
          <w:rFonts w:hint="eastAsia" w:ascii="仿宋_GB2312" w:hAnsi="华文宋体" w:eastAsia="仿宋_GB2312"/>
          <w:b/>
          <w:bCs/>
          <w:sz w:val="28"/>
          <w:szCs w:val="28"/>
        </w:rPr>
        <w:t>项目部指定的地点</w:t>
      </w:r>
      <w:r>
        <w:rPr>
          <w:rFonts w:hint="eastAsia" w:ascii="仿宋_GB2312" w:hAnsi="华文宋体" w:eastAsia="仿宋_GB2312"/>
          <w:sz w:val="28"/>
          <w:szCs w:val="28"/>
        </w:rPr>
        <w:t>，卸货由甲方负责，甲方支付卸货费用。</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2.3、产品初验合格之日视为产品交付之日，产品初验合格之前损毁、缺失的风险由乙方承担。</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2.4、产品交付程序：乙方按甲方提供的《项目部主材供货计划单》将货物运送至甲方规定的地点后，与项目部材料员进行交验，按规定填写《主材入库单》一式三份。乙方须按要求与项目部项目负责人完善签字和盖章手续。甲乙双方签字确认的销售单或送货单作为结算及对账唯一原始依据。</w:t>
      </w:r>
    </w:p>
    <w:p>
      <w:pPr>
        <w:spacing w:line="500" w:lineRule="exact"/>
        <w:ind w:firstLine="140" w:firstLineChars="50"/>
        <w:rPr>
          <w:rFonts w:hint="eastAsia" w:ascii="仿宋_GB2312" w:hAnsi="华文宋体" w:eastAsia="仿宋_GB2312"/>
          <w:sz w:val="28"/>
          <w:szCs w:val="28"/>
        </w:rPr>
      </w:pPr>
      <w:r>
        <w:rPr>
          <w:rFonts w:hint="eastAsia" w:ascii="仿宋_GB2312" w:hAnsi="华文宋体" w:eastAsia="仿宋_GB2312"/>
          <w:sz w:val="28"/>
          <w:szCs w:val="28"/>
        </w:rPr>
        <w:t>2.5</w:t>
      </w:r>
      <w:r>
        <w:rPr>
          <w:rFonts w:hint="eastAsia" w:ascii="仿宋_GB2312" w:hAnsi="华文宋体" w:eastAsia="仿宋_GB2312"/>
          <w:sz w:val="28"/>
          <w:szCs w:val="28"/>
          <w:lang w:eastAsia="zh-CN"/>
        </w:rPr>
        <w:t>、</w:t>
      </w:r>
      <w:r>
        <w:rPr>
          <w:rFonts w:hint="eastAsia" w:ascii="仿宋_GB2312" w:hAnsi="华文宋体" w:eastAsia="仿宋_GB2312"/>
          <w:sz w:val="28"/>
          <w:szCs w:val="28"/>
        </w:rPr>
        <w:t xml:space="preserve"> 乙方在收到甲方的《项目部主材供货计划单》日起三日内将该供货计划单所需货物全部送到甲方指定地点。</w:t>
      </w:r>
    </w:p>
    <w:p>
      <w:pPr>
        <w:ind w:firstLine="141" w:firstLineChars="50"/>
        <w:rPr>
          <w:rFonts w:ascii="仿宋_GB2312" w:hAnsi="华文宋体" w:eastAsia="仿宋_GB2312"/>
          <w:b/>
          <w:sz w:val="28"/>
          <w:szCs w:val="28"/>
        </w:rPr>
      </w:pPr>
      <w:r>
        <w:rPr>
          <w:rFonts w:hint="eastAsia" w:ascii="仿宋_GB2312" w:hAnsi="华文宋体" w:eastAsia="仿宋_GB2312"/>
          <w:b/>
          <w:sz w:val="28"/>
          <w:szCs w:val="28"/>
        </w:rPr>
        <w:t>3、产品的质量标准</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3.1、乙方交付的产品应当符合国家标准，其中：</w:t>
      </w:r>
      <w:r>
        <w:rPr>
          <w:rFonts w:ascii="仿宋_GB2312" w:hAnsi="华文宋体" w:eastAsia="仿宋_GB2312"/>
          <w:sz w:val="28"/>
          <w:szCs w:val="28"/>
          <w:u w:val="single"/>
        </w:rPr>
        <w:t>低碳热轧圆盘条GB/T701-2008;冷轧带肋钢筋GB 13788-2008；冷轧带肋钢筋用热轧盘条GB/T 28899-2012；热轧带肋钢筋GB1499.2-2007、GB 1499.2-2007/XG1-2009；热轧光圆钢筋GB1499.1-2008、GB1499.1-2008/XG1-2012；钢筋焊接网GB/T 1499.3-2010；碳素结构钢GB/T700-2006标准；预应力混凝土用螺纹钢筋GB/T 20065-2006；混凝土结构用成型钢筋制品GB/T 29733-2013</w:t>
      </w:r>
      <w:r>
        <w:rPr>
          <w:rFonts w:hint="eastAsia" w:ascii="仿宋_GB2312" w:hAnsi="华文宋体" w:eastAsia="仿宋_GB2312"/>
          <w:sz w:val="28"/>
          <w:szCs w:val="28"/>
        </w:rPr>
        <w:t>标准。</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3.2、甲方对产品的特殊质量要求为：严格按《项目部主材供货计划单》所示的生产厂家进行采购，若市场因素导致的特殊情况，可以按本合同1.5条款中的供货厂家范围进行采购。</w:t>
      </w:r>
    </w:p>
    <w:p>
      <w:pPr>
        <w:ind w:firstLine="141" w:firstLineChars="50"/>
        <w:rPr>
          <w:rFonts w:ascii="仿宋_GB2312" w:hAnsi="华文宋体" w:eastAsia="仿宋_GB2312"/>
          <w:b/>
          <w:sz w:val="28"/>
          <w:szCs w:val="28"/>
        </w:rPr>
      </w:pPr>
      <w:r>
        <w:rPr>
          <w:rFonts w:hint="eastAsia" w:ascii="仿宋_GB2312" w:hAnsi="华文宋体" w:eastAsia="仿宋_GB2312"/>
          <w:b/>
          <w:sz w:val="28"/>
          <w:szCs w:val="28"/>
        </w:rPr>
        <w:t>4、产品验收</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4.1、乙方依照本合同约定将产品安放于甲方指定地点后，甲乙双方应当共同对产品外观、数量、生产厂家等进行初验，乙方应随货出示产品出厂合格证、产品质量检验报告（或产品质量证明书）等文字资料。出厂合格证、产品质量检验报告（或产品质量证明书）必须与交付的产品厂家相吻合一致，如不相符的甲方有权退货，所产生的费用由乙方承担。</w:t>
      </w:r>
    </w:p>
    <w:p>
      <w:pPr>
        <w:spacing w:line="500" w:lineRule="exact"/>
        <w:ind w:firstLine="140" w:firstLineChars="50"/>
        <w:rPr>
          <w:rFonts w:ascii="仿宋_GB2312" w:hAnsi="华文宋体" w:eastAsia="仿宋_GB2312"/>
          <w:sz w:val="28"/>
          <w:szCs w:val="28"/>
        </w:rPr>
      </w:pPr>
      <w:r>
        <w:rPr>
          <w:rFonts w:hint="eastAsia" w:ascii="仿宋_GB2312" w:hAnsi="华文宋体" w:eastAsia="仿宋_GB2312"/>
          <w:sz w:val="28"/>
          <w:szCs w:val="28"/>
        </w:rPr>
        <w:t>4.2、产品初验：甲方项目部与乙方应当对当批货物进行及时验收，</w:t>
      </w:r>
      <w:r>
        <w:rPr>
          <w:rFonts w:hint="eastAsia" w:ascii="仿宋_GB2312" w:hAnsi="华文宋体" w:eastAsia="仿宋_GB2312"/>
          <w:b/>
          <w:bCs/>
          <w:color w:val="auto"/>
          <w:sz w:val="28"/>
          <w:szCs w:val="28"/>
        </w:rPr>
        <w:t>螺纹钢、盘圆和盘螺</w:t>
      </w:r>
      <w:r>
        <w:rPr>
          <w:rFonts w:hint="eastAsia" w:ascii="仿宋_GB2312" w:hAnsi="华文宋体" w:eastAsia="仿宋_GB2312"/>
          <w:b/>
          <w:bCs/>
          <w:color w:val="auto"/>
          <w:sz w:val="28"/>
          <w:szCs w:val="28"/>
          <w:highlight w:val="none"/>
        </w:rPr>
        <w:t>计算</w:t>
      </w:r>
      <w:r>
        <w:rPr>
          <w:rFonts w:hint="eastAsia" w:ascii="仿宋_GB2312" w:hAnsi="华文宋体" w:eastAsia="仿宋_GB2312"/>
          <w:b/>
          <w:bCs/>
          <w:color w:val="auto"/>
          <w:sz w:val="28"/>
          <w:szCs w:val="28"/>
          <w:highlight w:val="none"/>
          <w:lang w:val="en-US" w:eastAsia="zh-CN"/>
        </w:rPr>
        <w:t>方式按照1.4条结算方式的选择而定</w:t>
      </w:r>
      <w:r>
        <w:rPr>
          <w:rFonts w:hint="eastAsia" w:ascii="仿宋_GB2312" w:hAnsi="华文宋体" w:eastAsia="仿宋_GB2312"/>
          <w:sz w:val="28"/>
          <w:szCs w:val="28"/>
        </w:rPr>
        <w:t>。在验收过程中，若收货人对螺纹钢、盘圆和盘螺重量有异议时，可以允许收货人与乙方一起采用其他的、公平的方式进行复验，量差应当控制在3‰范围内，</w:t>
      </w:r>
      <w:r>
        <w:rPr>
          <w:rFonts w:hint="eastAsia" w:ascii="仿宋" w:hAnsi="仿宋" w:eastAsia="仿宋" w:cs="仿宋"/>
          <w:sz w:val="28"/>
          <w:szCs w:val="28"/>
        </w:rPr>
        <w:t>若超出±3‰，双方可采取第三方地磅过磅，以第三方过磅重量为准，若不足，过磅费由乙方承担，反之由甲方承担（甲方随机抽查，3车以上量差超过本协议的误差值，按总供货量测算误差值。）</w:t>
      </w:r>
      <w:r>
        <w:rPr>
          <w:rFonts w:hint="eastAsia" w:ascii="仿宋_GB2312" w:hAnsi="华文宋体" w:eastAsia="仿宋_GB2312"/>
          <w:sz w:val="28"/>
          <w:szCs w:val="28"/>
        </w:rPr>
        <w:t>。验收后，由甲方指定的验收人员在乙方开具的销售单上签字确认，甲方指定验收人</w:t>
      </w:r>
      <w:r>
        <w:rPr>
          <w:rFonts w:hint="eastAsia" w:ascii="仿宋_GB2312" w:hAnsi="华文宋体" w:eastAsia="仿宋_GB2312"/>
          <w:sz w:val="28"/>
          <w:szCs w:val="28"/>
          <w:lang w:eastAsia="zh-CN"/>
        </w:rPr>
        <w:t>由实际运送项目具体确定。</w:t>
      </w:r>
    </w:p>
    <w:p>
      <w:pPr>
        <w:spacing w:line="500" w:lineRule="exact"/>
        <w:ind w:firstLine="560" w:firstLineChars="200"/>
        <w:rPr>
          <w:rFonts w:ascii="仿宋_GB2312" w:hAnsi="华文宋体" w:eastAsia="仿宋_GB2312"/>
          <w:sz w:val="28"/>
          <w:szCs w:val="28"/>
        </w:rPr>
      </w:pPr>
      <w:r>
        <w:rPr>
          <w:rFonts w:hint="eastAsia" w:ascii="仿宋_GB2312" w:hAnsi="华文宋体" w:eastAsia="仿宋_GB2312"/>
          <w:sz w:val="28"/>
          <w:szCs w:val="28"/>
          <w:lang w:eastAsia="zh-CN"/>
        </w:rPr>
        <w:t>甲方验收人员</w:t>
      </w:r>
      <w:r>
        <w:rPr>
          <w:rFonts w:hint="eastAsia" w:ascii="仿宋_GB2312" w:hAnsi="华文宋体" w:eastAsia="仿宋_GB2312"/>
          <w:sz w:val="28"/>
          <w:szCs w:val="28"/>
        </w:rPr>
        <w:t>为唯一有权进行产品初验的授权代表，该授权代表只能对产品的数量 规格 生产厂家进行认可，而无权对乙方提供的质</w:t>
      </w:r>
      <w:r>
        <w:rPr>
          <w:rFonts w:hint="eastAsia" w:ascii="仿宋_GB2312" w:hAnsi="华文宋体" w:eastAsia="仿宋_GB2312"/>
          <w:color w:val="auto"/>
          <w:sz w:val="28"/>
          <w:szCs w:val="28"/>
        </w:rPr>
        <w:t>量</w:t>
      </w:r>
      <w:r>
        <w:rPr>
          <w:rFonts w:hint="eastAsia" w:ascii="仿宋_GB2312" w:hAnsi="华文宋体" w:eastAsia="仿宋_GB2312"/>
          <w:color w:val="auto"/>
          <w:sz w:val="28"/>
          <w:szCs w:val="28"/>
          <w:lang w:eastAsia="zh-CN"/>
        </w:rPr>
        <w:t>、</w:t>
      </w:r>
      <w:r>
        <w:rPr>
          <w:rFonts w:hint="eastAsia" w:ascii="仿宋_GB2312" w:hAnsi="华文宋体" w:eastAsia="仿宋_GB2312"/>
          <w:color w:val="auto"/>
          <w:sz w:val="28"/>
          <w:szCs w:val="28"/>
          <w:lang w:val="en-US" w:eastAsia="zh-CN"/>
        </w:rPr>
        <w:t>单价</w:t>
      </w:r>
      <w:r>
        <w:rPr>
          <w:rFonts w:hint="eastAsia" w:ascii="仿宋_GB2312" w:hAnsi="华文宋体" w:eastAsia="仿宋_GB2312"/>
          <w:color w:val="auto"/>
          <w:sz w:val="28"/>
          <w:szCs w:val="28"/>
        </w:rPr>
        <w:t>进行认可，该授权代表发生变更时甲方应书面通知</w:t>
      </w:r>
      <w:r>
        <w:rPr>
          <w:rFonts w:hint="eastAsia" w:ascii="仿宋_GB2312" w:hAnsi="华文宋体" w:eastAsia="仿宋_GB2312"/>
          <w:sz w:val="28"/>
          <w:szCs w:val="28"/>
        </w:rPr>
        <w:t>乙方，在乙方未收到甲方的书面通知时原授权代表签字依然有效。</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4.3、乙方须严格按《项目部主材供货计划单》所列材料进行配货，规格不能进行增减，量差应当控制在3‰范围内。双方以实际的收货量作为结算依据。</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4.4、产品检验：</w:t>
      </w:r>
      <w:r>
        <w:rPr>
          <w:rFonts w:hint="eastAsia" w:ascii="仿宋_GB2312" w:hAnsi="华文宋体" w:eastAsia="仿宋_GB2312"/>
          <w:b/>
          <w:bCs/>
          <w:color w:val="auto"/>
          <w:sz w:val="28"/>
          <w:szCs w:val="28"/>
        </w:rPr>
        <w:t>遵循先检测后使用原则</w:t>
      </w:r>
      <w:r>
        <w:rPr>
          <w:rFonts w:hint="eastAsia" w:ascii="仿宋_GB2312" w:hAnsi="华文宋体" w:eastAsia="仿宋_GB2312"/>
          <w:color w:val="auto"/>
          <w:sz w:val="28"/>
          <w:szCs w:val="28"/>
        </w:rPr>
        <w:t>，</w:t>
      </w:r>
      <w:r>
        <w:rPr>
          <w:rFonts w:hint="eastAsia" w:ascii="仿宋_GB2312" w:hAnsi="华文宋体" w:eastAsia="仿宋_GB2312"/>
          <w:sz w:val="28"/>
          <w:szCs w:val="28"/>
        </w:rPr>
        <w:t>甲方项目部应当在所交付的产品中随即抽取试样送至双方认可的检测机构进行检验，检测机构应在五天内出具检验报告。检验报告确认产品不合格的，或者产品不符合本合同的其他约定的，乙方应当依照甲方的指示重新交付符合合同约定的产品并且承担造成的所有经济损失。</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4.5、乙方应当负责将不合格的产品在七天内运离甲方场地，否则，甲方有权自行处理不合格产品，因此发生的费用由乙方承担。</w:t>
      </w:r>
    </w:p>
    <w:p>
      <w:pPr>
        <w:ind w:firstLine="140" w:firstLineChars="50"/>
        <w:rPr>
          <w:rFonts w:hint="eastAsia" w:ascii="仿宋_GB2312" w:hAnsi="华文宋体" w:eastAsia="仿宋_GB2312"/>
          <w:sz w:val="28"/>
          <w:szCs w:val="28"/>
        </w:rPr>
      </w:pPr>
      <w:r>
        <w:rPr>
          <w:rFonts w:hint="eastAsia" w:ascii="仿宋_GB2312" w:hAnsi="华文宋体" w:eastAsia="仿宋_GB2312"/>
          <w:sz w:val="28"/>
          <w:szCs w:val="28"/>
        </w:rPr>
        <w:t>4.6、甲方指定《项目部验收人员清单》所列人员为唯一有权进行产品初检的授权代表，该授权代表只能对产品数量和规格、生产厂家进行认可，而无权对乙方提供产品的质量和价格进行认可，价格按本合同1.4条执行。当该授权代表发生变更时，甲方应以书面方式通知乙方。</w:t>
      </w:r>
    </w:p>
    <w:p>
      <w:pPr>
        <w:rPr>
          <w:rFonts w:ascii="仿宋_GB2312" w:hAnsi="华文宋体" w:eastAsia="仿宋_GB2312"/>
          <w:b/>
          <w:sz w:val="28"/>
          <w:szCs w:val="28"/>
        </w:rPr>
      </w:pPr>
      <w:r>
        <w:rPr>
          <w:rFonts w:hint="eastAsia" w:ascii="仿宋_GB2312" w:hAnsi="华文宋体" w:eastAsia="仿宋_GB2312"/>
          <w:b/>
          <w:sz w:val="28"/>
          <w:szCs w:val="28"/>
        </w:rPr>
        <w:t>5、结算与付款</w:t>
      </w:r>
    </w:p>
    <w:p>
      <w:pPr>
        <w:spacing w:line="560" w:lineRule="exact"/>
        <w:ind w:firstLine="140" w:firstLineChars="50"/>
        <w:rPr>
          <w:rFonts w:hint="eastAsia" w:ascii="仿宋_GB2312" w:hAnsi="华文宋体" w:eastAsia="仿宋_GB2312"/>
          <w:b/>
          <w:bCs/>
          <w:color w:val="000000" w:themeColor="text1"/>
          <w:sz w:val="28"/>
          <w:szCs w:val="28"/>
          <w:highlight w:val="none"/>
          <w:lang w:val="en-US" w:eastAsia="zh-CN"/>
          <w14:textFill>
            <w14:solidFill>
              <w14:schemeClr w14:val="tx1"/>
            </w14:solidFill>
          </w14:textFill>
        </w:rPr>
      </w:pPr>
      <w:r>
        <w:rPr>
          <w:rFonts w:hint="eastAsia" w:ascii="仿宋_GB2312" w:hAnsi="华文宋体" w:eastAsia="仿宋_GB2312"/>
          <w:sz w:val="28"/>
          <w:szCs w:val="28"/>
          <w:highlight w:val="none"/>
        </w:rPr>
        <w:t>5.1</w:t>
      </w:r>
      <w:r>
        <w:rPr>
          <w:rFonts w:hint="eastAsia" w:ascii="仿宋_GB2312" w:hAnsi="华文宋体" w:eastAsia="仿宋_GB2312"/>
          <w:sz w:val="28"/>
          <w:szCs w:val="28"/>
          <w:highlight w:val="none"/>
          <w:lang w:eastAsia="zh-CN"/>
        </w:rPr>
        <w:t>、</w:t>
      </w:r>
      <w:r>
        <w:rPr>
          <w:rFonts w:hint="eastAsia" w:ascii="仿宋_GB2312" w:hAnsi="华文宋体" w:eastAsia="仿宋_GB2312"/>
          <w:sz w:val="28"/>
          <w:szCs w:val="28"/>
          <w:highlight w:val="none"/>
        </w:rPr>
        <w:t>甲乙双方约定每月25号乙方与甲方和项目部三方同时审核当月《材料结算单》（附件3），审核无误后，甲乙双方对审核后的《材料结算单》签字盖章，作为结算货款依据。</w:t>
      </w:r>
      <w:r>
        <w:rPr>
          <w:rFonts w:hint="eastAsia" w:ascii="仿宋_GB2312" w:hAnsi="华文宋体" w:eastAsia="仿宋_GB2312"/>
          <w:b/>
          <w:bCs/>
          <w:color w:val="000000" w:themeColor="text1"/>
          <w:sz w:val="28"/>
          <w:szCs w:val="28"/>
          <w:highlight w:val="none"/>
          <w:lang w:val="en-US" w:eastAsia="zh-CN"/>
          <w14:textFill>
            <w14:solidFill>
              <w14:schemeClr w14:val="tx1"/>
            </w14:solidFill>
          </w14:textFill>
        </w:rPr>
        <w:t>垫资的参照1.4.1条垫资模式执行结算。</w:t>
      </w:r>
    </w:p>
    <w:p>
      <w:pPr>
        <w:ind w:firstLine="140" w:firstLineChars="50"/>
      </w:pPr>
      <w:r>
        <w:rPr>
          <w:rFonts w:hint="eastAsia" w:ascii="仿宋_GB2312" w:hAnsi="华文宋体" w:eastAsia="仿宋_GB2312"/>
          <w:color w:val="000000" w:themeColor="text1"/>
          <w:sz w:val="28"/>
          <w:szCs w:val="28"/>
          <w:highlight w:val="none"/>
          <w14:textFill>
            <w14:solidFill>
              <w14:schemeClr w14:val="tx1"/>
            </w14:solidFill>
          </w14:textFill>
        </w:rPr>
        <w:t>5.2</w:t>
      </w:r>
      <w:r>
        <w:rPr>
          <w:rFonts w:hint="eastAsia" w:ascii="仿宋_GB2312" w:hAnsi="华文宋体" w:eastAsia="仿宋_GB2312"/>
          <w:color w:val="000000" w:themeColor="text1"/>
          <w:sz w:val="28"/>
          <w:szCs w:val="28"/>
          <w:highlight w:val="none"/>
          <w:lang w:eastAsia="zh-CN"/>
          <w14:textFill>
            <w14:solidFill>
              <w14:schemeClr w14:val="tx1"/>
            </w14:solidFill>
          </w14:textFill>
        </w:rPr>
        <w:t>、</w:t>
      </w:r>
      <w:r>
        <w:rPr>
          <w:rFonts w:hint="eastAsia" w:ascii="仿宋_GB2312" w:hAnsi="华文宋体" w:eastAsia="仿宋_GB2312"/>
          <w:color w:val="000000" w:themeColor="text1"/>
          <w:sz w:val="28"/>
          <w:szCs w:val="28"/>
          <w:highlight w:val="none"/>
          <w:u w:val="none"/>
          <w14:textFill>
            <w14:solidFill>
              <w14:schemeClr w14:val="tx1"/>
            </w14:solidFill>
          </w14:textFill>
        </w:rPr>
        <w:t>因为星期六和星期天没有网上报价，所有星期六执行昨日星期五价格，星期天执行明日星期一的价格。</w:t>
      </w:r>
    </w:p>
    <w:p>
      <w:pPr>
        <w:spacing w:line="560" w:lineRule="exact"/>
        <w:ind w:firstLine="140" w:firstLineChars="50"/>
        <w:rPr>
          <w:rFonts w:ascii="仿宋_GB2312" w:hAnsi="华文宋体" w:eastAsia="仿宋_GB2312"/>
          <w:sz w:val="28"/>
          <w:szCs w:val="28"/>
          <w:highlight w:val="none"/>
        </w:rPr>
      </w:pPr>
      <w:r>
        <w:rPr>
          <w:rFonts w:hint="eastAsia" w:ascii="仿宋_GB2312" w:hAnsi="华文宋体" w:eastAsia="仿宋_GB2312"/>
          <w:sz w:val="28"/>
          <w:szCs w:val="28"/>
          <w:highlight w:val="none"/>
        </w:rPr>
        <w:t>5.</w:t>
      </w:r>
      <w:r>
        <w:rPr>
          <w:rFonts w:hint="eastAsia" w:ascii="仿宋_GB2312" w:hAnsi="华文宋体" w:eastAsia="仿宋_GB2312"/>
          <w:sz w:val="28"/>
          <w:szCs w:val="28"/>
          <w:highlight w:val="none"/>
          <w:lang w:val="en-US" w:eastAsia="zh-CN"/>
        </w:rPr>
        <w:t>3、</w:t>
      </w:r>
      <w:r>
        <w:rPr>
          <w:rFonts w:hint="eastAsia" w:ascii="仿宋_GB2312" w:hAnsi="华文宋体" w:eastAsia="仿宋_GB2312"/>
          <w:sz w:val="28"/>
          <w:szCs w:val="28"/>
          <w:highlight w:val="none"/>
        </w:rPr>
        <w:t>甲乙双方应当按照本合同的5.1条形成的甲乙双方认可的结算货款清单后，甲方于次月15号前按双方结算额向乙方支付所供货物的货款</w:t>
      </w:r>
      <w:r>
        <w:rPr>
          <w:rFonts w:hint="eastAsia" w:ascii="仿宋_GB2312" w:hAnsi="华文宋体" w:eastAsia="仿宋_GB2312"/>
          <w:b/>
          <w:bCs/>
          <w:sz w:val="28"/>
          <w:szCs w:val="28"/>
          <w:highlight w:val="none"/>
        </w:rPr>
        <w:t>（如次月15日内未按期付所欠货款，计息时间按结算次月16号开始计算）</w:t>
      </w:r>
      <w:r>
        <w:rPr>
          <w:rFonts w:hint="eastAsia" w:ascii="仿宋_GB2312" w:hAnsi="华文宋体" w:eastAsia="仿宋_GB2312"/>
          <w:sz w:val="28"/>
          <w:szCs w:val="28"/>
          <w:highlight w:val="none"/>
        </w:rPr>
        <w:t>，</w:t>
      </w:r>
      <w:r>
        <w:rPr>
          <w:rFonts w:hint="eastAsia" w:ascii="仿宋_GB2312" w:hAnsi="华文宋体" w:eastAsia="仿宋_GB2312"/>
          <w:color w:val="auto"/>
          <w:sz w:val="28"/>
          <w:szCs w:val="28"/>
          <w:highlight w:val="none"/>
          <w:lang w:val="en-US" w:eastAsia="zh-CN"/>
        </w:rPr>
        <w:t>违约金比例分段计算，</w:t>
      </w:r>
      <w:r>
        <w:rPr>
          <w:rFonts w:hint="eastAsia" w:ascii="仿宋_GB2312" w:hAnsi="华文宋体" w:eastAsia="仿宋_GB2312"/>
          <w:color w:val="000000" w:themeColor="text1"/>
          <w:sz w:val="28"/>
          <w:szCs w:val="28"/>
          <w:highlight w:val="none"/>
          <w14:textFill>
            <w14:solidFill>
              <w14:schemeClr w14:val="tx1"/>
            </w14:solidFill>
          </w14:textFill>
        </w:rPr>
        <w:t>逾期</w:t>
      </w:r>
      <w:r>
        <w:rPr>
          <w:rFonts w:hint="eastAsia" w:ascii="仿宋_GB2312" w:hAnsi="华文宋体" w:eastAsia="仿宋_GB2312"/>
          <w:color w:val="000000" w:themeColor="text1"/>
          <w:sz w:val="28"/>
          <w:szCs w:val="28"/>
          <w:highlight w:val="none"/>
          <w:lang w:val="en-US" w:eastAsia="zh-CN"/>
          <w14:textFill>
            <w14:solidFill>
              <w14:schemeClr w14:val="tx1"/>
            </w14:solidFill>
          </w14:textFill>
        </w:rPr>
        <w:t>3个月（90天）以内</w:t>
      </w:r>
      <w:r>
        <w:rPr>
          <w:rFonts w:hint="eastAsia" w:ascii="仿宋_GB2312" w:hAnsi="华文宋体" w:eastAsia="仿宋_GB2312"/>
          <w:color w:val="000000" w:themeColor="text1"/>
          <w:sz w:val="28"/>
          <w:szCs w:val="28"/>
          <w:highlight w:val="none"/>
          <w14:textFill>
            <w14:solidFill>
              <w14:schemeClr w14:val="tx1"/>
            </w14:solidFill>
          </w14:textFill>
        </w:rPr>
        <w:t>的按照未付货款本金年息12%计算违约金</w:t>
      </w:r>
      <w:r>
        <w:rPr>
          <w:rFonts w:hint="eastAsia" w:ascii="仿宋_GB2312" w:hAnsi="华文宋体" w:eastAsia="仿宋_GB2312"/>
          <w:color w:val="000000" w:themeColor="text1"/>
          <w:sz w:val="28"/>
          <w:szCs w:val="28"/>
          <w:highlight w:val="none"/>
          <w:lang w:eastAsia="zh-CN"/>
          <w14:textFill>
            <w14:solidFill>
              <w14:schemeClr w14:val="tx1"/>
            </w14:solidFill>
          </w14:textFill>
        </w:rPr>
        <w:t>，</w:t>
      </w:r>
      <w:r>
        <w:rPr>
          <w:rFonts w:hint="eastAsia" w:ascii="仿宋_GB2312" w:hAnsi="华文宋体" w:eastAsia="仿宋_GB2312"/>
          <w:color w:val="000000" w:themeColor="text1"/>
          <w:sz w:val="28"/>
          <w:szCs w:val="28"/>
          <w:highlight w:val="none"/>
          <w14:textFill>
            <w14:solidFill>
              <w14:schemeClr w14:val="tx1"/>
            </w14:solidFill>
          </w14:textFill>
        </w:rPr>
        <w:t>逾期超过</w:t>
      </w:r>
      <w:r>
        <w:rPr>
          <w:rFonts w:hint="eastAsia" w:ascii="仿宋_GB2312" w:hAnsi="华文宋体" w:eastAsia="仿宋_GB2312"/>
          <w:color w:val="000000" w:themeColor="text1"/>
          <w:sz w:val="28"/>
          <w:szCs w:val="28"/>
          <w:highlight w:val="none"/>
          <w:lang w:val="en-US" w:eastAsia="zh-CN"/>
          <w14:textFill>
            <w14:solidFill>
              <w14:schemeClr w14:val="tx1"/>
            </w14:solidFill>
          </w14:textFill>
        </w:rPr>
        <w:t>3</w:t>
      </w:r>
      <w:r>
        <w:rPr>
          <w:rFonts w:hint="eastAsia" w:ascii="仿宋_GB2312" w:hAnsi="华文宋体" w:eastAsia="仿宋_GB2312"/>
          <w:color w:val="000000" w:themeColor="text1"/>
          <w:sz w:val="28"/>
          <w:szCs w:val="28"/>
          <w:highlight w:val="none"/>
          <w14:textFill>
            <w14:solidFill>
              <w14:schemeClr w14:val="tx1"/>
            </w14:solidFill>
          </w14:textFill>
        </w:rPr>
        <w:t>个月</w:t>
      </w:r>
      <w:r>
        <w:rPr>
          <w:rFonts w:hint="eastAsia" w:ascii="仿宋_GB2312" w:hAnsi="华文宋体" w:eastAsia="仿宋_GB2312"/>
          <w:color w:val="000000" w:themeColor="text1"/>
          <w:sz w:val="28"/>
          <w:szCs w:val="28"/>
          <w:highlight w:val="none"/>
          <w:lang w:eastAsia="zh-CN"/>
          <w14:textFill>
            <w14:solidFill>
              <w14:schemeClr w14:val="tx1"/>
            </w14:solidFill>
          </w14:textFill>
        </w:rPr>
        <w:t>（</w:t>
      </w:r>
      <w:r>
        <w:rPr>
          <w:rFonts w:hint="eastAsia" w:ascii="仿宋_GB2312" w:hAnsi="华文宋体" w:eastAsia="仿宋_GB2312"/>
          <w:color w:val="000000" w:themeColor="text1"/>
          <w:sz w:val="28"/>
          <w:szCs w:val="28"/>
          <w:highlight w:val="none"/>
          <w:lang w:val="en-US" w:eastAsia="zh-CN"/>
          <w14:textFill>
            <w14:solidFill>
              <w14:schemeClr w14:val="tx1"/>
            </w14:solidFill>
          </w14:textFill>
        </w:rPr>
        <w:t>90天</w:t>
      </w:r>
      <w:r>
        <w:rPr>
          <w:rFonts w:hint="eastAsia" w:ascii="仿宋_GB2312" w:hAnsi="华文宋体" w:eastAsia="仿宋_GB2312"/>
          <w:color w:val="000000" w:themeColor="text1"/>
          <w:sz w:val="28"/>
          <w:szCs w:val="28"/>
          <w:highlight w:val="none"/>
          <w:lang w:eastAsia="zh-CN"/>
          <w14:textFill>
            <w14:solidFill>
              <w14:schemeClr w14:val="tx1"/>
            </w14:solidFill>
          </w14:textFill>
        </w:rPr>
        <w:t>）</w:t>
      </w:r>
      <w:r>
        <w:rPr>
          <w:rFonts w:hint="eastAsia" w:ascii="仿宋_GB2312" w:hAnsi="华文宋体" w:eastAsia="仿宋_GB2312"/>
          <w:color w:val="000000" w:themeColor="text1"/>
          <w:sz w:val="28"/>
          <w:szCs w:val="28"/>
          <w:highlight w:val="none"/>
          <w14:textFill>
            <w14:solidFill>
              <w14:schemeClr w14:val="tx1"/>
            </w14:solidFill>
          </w14:textFill>
        </w:rPr>
        <w:t>的，</w:t>
      </w:r>
      <w:r>
        <w:rPr>
          <w:rFonts w:hint="eastAsia" w:ascii="仿宋_GB2312" w:hAnsi="华文宋体" w:eastAsia="仿宋_GB2312"/>
          <w:color w:val="000000" w:themeColor="text1"/>
          <w:sz w:val="28"/>
          <w:szCs w:val="28"/>
          <w:highlight w:val="none"/>
          <w:lang w:val="en-US" w:eastAsia="zh-CN"/>
          <w14:textFill>
            <w14:solidFill>
              <w14:schemeClr w14:val="tx1"/>
            </w14:solidFill>
          </w14:textFill>
        </w:rPr>
        <w:t>从第91天开始</w:t>
      </w:r>
      <w:r>
        <w:rPr>
          <w:rFonts w:hint="eastAsia" w:ascii="仿宋_GB2312" w:hAnsi="华文宋体" w:eastAsia="仿宋_GB2312"/>
          <w:color w:val="000000" w:themeColor="text1"/>
          <w:sz w:val="28"/>
          <w:szCs w:val="28"/>
          <w:highlight w:val="none"/>
          <w14:textFill>
            <w14:solidFill>
              <w14:schemeClr w14:val="tx1"/>
            </w14:solidFill>
          </w14:textFill>
        </w:rPr>
        <w:t>按照未付货款本金年息</w:t>
      </w:r>
      <w:r>
        <w:rPr>
          <w:rFonts w:hint="eastAsia" w:ascii="仿宋_GB2312" w:hAnsi="华文宋体" w:eastAsia="仿宋_GB2312"/>
          <w:sz w:val="28"/>
          <w:szCs w:val="28"/>
          <w:highlight w:val="none"/>
        </w:rPr>
        <w:t>14.4%计算违约金</w:t>
      </w:r>
      <w:r>
        <w:rPr>
          <w:rFonts w:hint="eastAsia" w:ascii="仿宋_GB2312" w:hAnsi="华文宋体" w:eastAsia="仿宋_GB2312"/>
          <w:sz w:val="28"/>
          <w:szCs w:val="28"/>
          <w:highlight w:val="none"/>
          <w:lang w:eastAsia="zh-CN"/>
        </w:rPr>
        <w:t>，</w:t>
      </w:r>
      <w:r>
        <w:rPr>
          <w:rFonts w:hint="eastAsia" w:ascii="仿宋_GB2312" w:hAnsi="华文宋体" w:eastAsia="仿宋_GB2312"/>
          <w:color w:val="000000" w:themeColor="text1"/>
          <w:sz w:val="28"/>
          <w:szCs w:val="28"/>
          <w:highlight w:val="none"/>
          <w:lang w:val="en-US" w:eastAsia="zh-CN"/>
          <w14:textFill>
            <w14:solidFill>
              <w14:schemeClr w14:val="tx1"/>
            </w14:solidFill>
          </w14:textFill>
        </w:rPr>
        <w:t>计息时间按照实际逾期天数计算，</w:t>
      </w:r>
      <w:r>
        <w:rPr>
          <w:rFonts w:hint="eastAsia" w:ascii="仿宋_GB2312" w:hAnsi="华文宋体" w:eastAsia="仿宋_GB2312"/>
          <w:color w:val="000000" w:themeColor="text1"/>
          <w:sz w:val="28"/>
          <w:szCs w:val="28"/>
          <w:highlight w:val="none"/>
          <w14:textFill>
            <w14:solidFill>
              <w14:schemeClr w14:val="tx1"/>
            </w14:solidFill>
          </w14:textFill>
        </w:rPr>
        <w:t>直至甲方付清所有应付款之日止。</w:t>
      </w:r>
      <w:r>
        <w:rPr>
          <w:rFonts w:hint="eastAsia" w:ascii="仿宋_GB2312" w:hAnsi="华文宋体" w:eastAsia="仿宋_GB2312"/>
          <w:b/>
          <w:bCs/>
          <w:sz w:val="28"/>
          <w:szCs w:val="28"/>
          <w:highlight w:val="none"/>
        </w:rPr>
        <w:t>（</w:t>
      </w:r>
      <w:r>
        <w:rPr>
          <w:rFonts w:hint="eastAsia" w:ascii="仿宋_GB2312" w:hAnsi="华文宋体" w:eastAsia="仿宋_GB2312"/>
          <w:b/>
          <w:bCs/>
          <w:color w:val="000000" w:themeColor="text1"/>
          <w:sz w:val="28"/>
          <w:szCs w:val="28"/>
          <w:highlight w:val="none"/>
          <w:lang w:eastAsia="zh-CN"/>
          <w14:textFill>
            <w14:solidFill>
              <w14:schemeClr w14:val="tx1"/>
            </w14:solidFill>
          </w14:textFill>
        </w:rPr>
        <w:t>如未按期支付货款</w:t>
      </w:r>
      <w:r>
        <w:rPr>
          <w:rFonts w:hint="eastAsia" w:ascii="仿宋_GB2312" w:hAnsi="华文宋体" w:eastAsia="仿宋_GB2312"/>
          <w:b/>
          <w:bCs/>
          <w:color w:val="000000" w:themeColor="text1"/>
          <w:sz w:val="28"/>
          <w:szCs w:val="28"/>
          <w:highlight w:val="none"/>
          <w:lang w:val="en-US" w:eastAsia="zh-CN"/>
          <w14:textFill>
            <w14:solidFill>
              <w14:schemeClr w14:val="tx1"/>
            </w14:solidFill>
          </w14:textFill>
        </w:rPr>
        <w:t>所产生的资金占用费，在支付货款时优先抵扣资金占用费，资金占用费</w:t>
      </w:r>
      <w:r>
        <w:rPr>
          <w:rFonts w:hint="eastAsia" w:ascii="仿宋_GB2312" w:hAnsi="华文宋体" w:eastAsia="仿宋_GB2312"/>
          <w:b/>
          <w:bCs/>
          <w:color w:val="000000" w:themeColor="text1"/>
          <w:sz w:val="28"/>
          <w:szCs w:val="28"/>
          <w:highlight w:val="none"/>
          <w14:textFill>
            <w14:solidFill>
              <w14:schemeClr w14:val="tx1"/>
            </w14:solidFill>
          </w14:textFill>
        </w:rPr>
        <w:t>不得累加到货款中再次计算</w:t>
      </w:r>
      <w:r>
        <w:rPr>
          <w:rFonts w:hint="eastAsia" w:ascii="仿宋_GB2312" w:hAnsi="华文宋体" w:eastAsia="仿宋_GB2312"/>
          <w:b/>
          <w:bCs/>
          <w:color w:val="000000" w:themeColor="text1"/>
          <w:sz w:val="28"/>
          <w:szCs w:val="28"/>
          <w:highlight w:val="none"/>
          <w:lang w:val="en-US" w:eastAsia="zh-CN"/>
          <w14:textFill>
            <w14:solidFill>
              <w14:schemeClr w14:val="tx1"/>
            </w14:solidFill>
          </w14:textFill>
        </w:rPr>
        <w:t>资金占用费</w:t>
      </w:r>
      <w:r>
        <w:rPr>
          <w:rFonts w:hint="eastAsia" w:ascii="仿宋_GB2312" w:hAnsi="华文宋体" w:eastAsia="仿宋_GB2312"/>
          <w:b/>
          <w:bCs/>
          <w:color w:val="000000" w:themeColor="text1"/>
          <w:sz w:val="28"/>
          <w:szCs w:val="28"/>
          <w:highlight w:val="none"/>
          <w14:textFill>
            <w14:solidFill>
              <w14:schemeClr w14:val="tx1"/>
            </w14:solidFill>
          </w14:textFill>
        </w:rPr>
        <w:t>，如出现重复计算</w:t>
      </w:r>
      <w:r>
        <w:rPr>
          <w:rFonts w:hint="eastAsia" w:ascii="仿宋_GB2312" w:hAnsi="华文宋体" w:eastAsia="仿宋_GB2312"/>
          <w:b/>
          <w:bCs/>
          <w:color w:val="000000" w:themeColor="text1"/>
          <w:sz w:val="28"/>
          <w:szCs w:val="28"/>
          <w:highlight w:val="none"/>
          <w:lang w:val="en-US" w:eastAsia="zh-CN"/>
          <w14:textFill>
            <w14:solidFill>
              <w14:schemeClr w14:val="tx1"/>
            </w14:solidFill>
          </w14:textFill>
        </w:rPr>
        <w:t>资金占用费</w:t>
      </w:r>
      <w:r>
        <w:rPr>
          <w:rFonts w:hint="eastAsia" w:ascii="仿宋_GB2312" w:hAnsi="华文宋体" w:eastAsia="仿宋_GB2312"/>
          <w:b/>
          <w:bCs/>
          <w:color w:val="000000" w:themeColor="text1"/>
          <w:sz w:val="28"/>
          <w:szCs w:val="28"/>
          <w:highlight w:val="none"/>
          <w14:textFill>
            <w14:solidFill>
              <w14:schemeClr w14:val="tx1"/>
            </w14:solidFill>
          </w14:textFill>
        </w:rPr>
        <w:t>，乙方无条件退多计算的</w:t>
      </w:r>
      <w:r>
        <w:rPr>
          <w:rFonts w:hint="eastAsia" w:ascii="仿宋_GB2312" w:hAnsi="华文宋体" w:eastAsia="仿宋_GB2312"/>
          <w:b/>
          <w:bCs/>
          <w:color w:val="000000" w:themeColor="text1"/>
          <w:sz w:val="28"/>
          <w:szCs w:val="28"/>
          <w:highlight w:val="none"/>
          <w:lang w:val="en-US" w:eastAsia="zh-CN"/>
          <w14:textFill>
            <w14:solidFill>
              <w14:schemeClr w14:val="tx1"/>
            </w14:solidFill>
          </w14:textFill>
        </w:rPr>
        <w:t>资金占用费</w:t>
      </w:r>
      <w:r>
        <w:rPr>
          <w:rFonts w:hint="eastAsia" w:ascii="仿宋_GB2312" w:hAnsi="华文宋体" w:eastAsia="仿宋_GB2312"/>
          <w:b/>
          <w:bCs/>
          <w:color w:val="000000" w:themeColor="text1"/>
          <w:sz w:val="28"/>
          <w:szCs w:val="28"/>
          <w:highlight w:val="none"/>
          <w14:textFill>
            <w14:solidFill>
              <w14:schemeClr w14:val="tx1"/>
            </w14:solidFill>
          </w14:textFill>
        </w:rPr>
        <w:t>给甲方</w:t>
      </w:r>
      <w:r>
        <w:rPr>
          <w:rFonts w:hint="eastAsia" w:ascii="仿宋_GB2312" w:hAnsi="华文宋体" w:eastAsia="仿宋_GB2312"/>
          <w:b/>
          <w:bCs/>
          <w:sz w:val="28"/>
          <w:szCs w:val="28"/>
          <w:highlight w:val="none"/>
        </w:rPr>
        <w:t>）</w:t>
      </w:r>
      <w:r>
        <w:rPr>
          <w:rFonts w:hint="eastAsia" w:ascii="仿宋_GB2312" w:hAnsi="华文宋体" w:eastAsia="仿宋_GB2312"/>
          <w:sz w:val="28"/>
          <w:szCs w:val="28"/>
          <w:highlight w:val="none"/>
        </w:rPr>
        <w:t>。</w:t>
      </w:r>
    </w:p>
    <w:p>
      <w:pPr>
        <w:ind w:firstLine="140" w:firstLineChars="50"/>
        <w:rPr>
          <w:rFonts w:ascii="仿宋_GB2312" w:hAnsi="华文宋体" w:eastAsia="仿宋_GB2312"/>
          <w:strike/>
          <w:sz w:val="28"/>
          <w:szCs w:val="28"/>
        </w:rPr>
      </w:pPr>
      <w:r>
        <w:rPr>
          <w:rFonts w:hint="eastAsia" w:ascii="仿宋_GB2312" w:hAnsi="华文宋体" w:eastAsia="仿宋_GB2312"/>
          <w:sz w:val="28"/>
          <w:szCs w:val="28"/>
        </w:rPr>
        <w:t>5.</w:t>
      </w:r>
      <w:r>
        <w:rPr>
          <w:rFonts w:hint="eastAsia" w:ascii="仿宋_GB2312" w:hAnsi="华文宋体" w:eastAsia="仿宋_GB2312"/>
          <w:sz w:val="28"/>
          <w:szCs w:val="28"/>
          <w:lang w:val="en-US" w:eastAsia="zh-CN"/>
        </w:rPr>
        <w:t>4、</w:t>
      </w:r>
      <w:r>
        <w:rPr>
          <w:rFonts w:hint="eastAsia" w:ascii="仿宋_GB2312" w:hAnsi="华文宋体" w:eastAsia="仿宋_GB2312"/>
          <w:sz w:val="28"/>
          <w:szCs w:val="28"/>
        </w:rPr>
        <w:t>合同价款包括但不限于全部产品本身费用、包装费用、用和保险费用、税费等。甲乙双方确认，结算价款为甲方履行本合同所需支付的全部费用，除此之外，甲方无须再就履行本合同向乙方支付任何其他费用。</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5.</w:t>
      </w:r>
      <w:r>
        <w:rPr>
          <w:rFonts w:hint="eastAsia" w:ascii="仿宋_GB2312" w:hAnsi="华文宋体" w:eastAsia="仿宋_GB2312"/>
          <w:sz w:val="28"/>
          <w:szCs w:val="28"/>
          <w:lang w:val="en-US" w:eastAsia="zh-CN"/>
        </w:rPr>
        <w:t>5、</w:t>
      </w:r>
      <w:r>
        <w:rPr>
          <w:rFonts w:hint="eastAsia" w:ascii="仿宋_GB2312" w:hAnsi="华文宋体" w:eastAsia="仿宋_GB2312"/>
          <w:sz w:val="28"/>
          <w:szCs w:val="28"/>
        </w:rPr>
        <w:t>乙方依据本合同的约定，应当赔偿甲方的损失或应当支付的违约金，甲方可以从合同价款中直接扣除，但应当对扣除情况作出书面说明并送达乙方。</w:t>
      </w:r>
    </w:p>
    <w:p>
      <w:pPr>
        <w:spacing w:line="560" w:lineRule="exact"/>
        <w:ind w:firstLine="140" w:firstLineChars="50"/>
        <w:rPr>
          <w:rFonts w:ascii="仿宋_GB2312" w:hAnsi="华文宋体" w:eastAsia="仿宋_GB2312"/>
          <w:sz w:val="28"/>
          <w:szCs w:val="28"/>
          <w:highlight w:val="none"/>
        </w:rPr>
      </w:pPr>
      <w:r>
        <w:rPr>
          <w:rFonts w:hint="eastAsia" w:ascii="仿宋_GB2312" w:hAnsi="华文宋体" w:eastAsia="仿宋_GB2312"/>
          <w:sz w:val="28"/>
          <w:szCs w:val="28"/>
          <w:highlight w:val="none"/>
        </w:rPr>
        <w:t>5.</w:t>
      </w:r>
      <w:r>
        <w:rPr>
          <w:rFonts w:hint="eastAsia" w:ascii="仿宋_GB2312" w:hAnsi="华文宋体" w:eastAsia="仿宋_GB2312"/>
          <w:sz w:val="28"/>
          <w:szCs w:val="28"/>
          <w:highlight w:val="none"/>
          <w:lang w:val="en-US" w:eastAsia="zh-CN"/>
        </w:rPr>
        <w:t>6、</w:t>
      </w:r>
      <w:r>
        <w:rPr>
          <w:rFonts w:hint="eastAsia" w:ascii="仿宋_GB2312" w:hAnsi="华文宋体" w:eastAsia="仿宋_GB2312"/>
          <w:sz w:val="28"/>
          <w:szCs w:val="28"/>
          <w:highlight w:val="none"/>
        </w:rPr>
        <w:t>乙方应于甲方每次支付合同价款</w:t>
      </w:r>
      <w:r>
        <w:rPr>
          <w:rFonts w:hint="eastAsia" w:ascii="仿宋_GB2312" w:hAnsi="华文宋体" w:eastAsia="仿宋_GB2312"/>
          <w:b/>
          <w:bCs/>
          <w:sz w:val="28"/>
          <w:szCs w:val="28"/>
          <w:highlight w:val="none"/>
        </w:rPr>
        <w:t>（货款、运吊费、贴息费</w:t>
      </w:r>
      <w:r>
        <w:rPr>
          <w:rFonts w:hint="eastAsia" w:ascii="仿宋_GB2312" w:hAnsi="华文宋体" w:eastAsia="仿宋_GB2312"/>
          <w:b/>
          <w:bCs/>
          <w:sz w:val="28"/>
          <w:szCs w:val="28"/>
          <w:highlight w:val="none"/>
          <w:lang w:eastAsia="zh-CN"/>
        </w:rPr>
        <w:t>、</w:t>
      </w:r>
      <w:r>
        <w:rPr>
          <w:rFonts w:hint="eastAsia" w:ascii="仿宋_GB2312" w:hAnsi="华文宋体" w:eastAsia="仿宋_GB2312"/>
          <w:b/>
          <w:bCs/>
          <w:color w:val="auto"/>
          <w:sz w:val="28"/>
          <w:szCs w:val="28"/>
          <w:highlight w:val="none"/>
          <w:lang w:val="en-US" w:eastAsia="zh-CN"/>
        </w:rPr>
        <w:t>违约金</w:t>
      </w:r>
      <w:r>
        <w:rPr>
          <w:rFonts w:hint="eastAsia" w:ascii="仿宋_GB2312" w:hAnsi="华文宋体" w:eastAsia="仿宋_GB2312"/>
          <w:b/>
          <w:bCs/>
          <w:sz w:val="28"/>
          <w:szCs w:val="28"/>
          <w:highlight w:val="none"/>
        </w:rPr>
        <w:t>）</w:t>
      </w:r>
      <w:r>
        <w:rPr>
          <w:rFonts w:hint="eastAsia" w:ascii="仿宋_GB2312" w:hAnsi="华文宋体" w:eastAsia="仿宋_GB2312"/>
          <w:sz w:val="28"/>
          <w:szCs w:val="28"/>
          <w:highlight w:val="none"/>
        </w:rPr>
        <w:t>的同时，</w:t>
      </w:r>
      <w:r>
        <w:rPr>
          <w:rFonts w:hint="eastAsia" w:ascii="仿宋_GB2312" w:hAnsi="华文宋体" w:eastAsia="仿宋_GB2312"/>
          <w:b/>
          <w:bCs/>
          <w:sz w:val="28"/>
          <w:szCs w:val="28"/>
          <w:highlight w:val="none"/>
          <w:lang w:val="en-US" w:eastAsia="zh-CN"/>
        </w:rPr>
        <w:t>采用一票制</w:t>
      </w:r>
      <w:r>
        <w:rPr>
          <w:rFonts w:hint="eastAsia" w:ascii="仿宋_GB2312" w:hAnsi="华文宋体" w:eastAsia="仿宋_GB2312"/>
          <w:sz w:val="28"/>
          <w:szCs w:val="28"/>
          <w:highlight w:val="none"/>
        </w:rPr>
        <w:t>向甲方开具相应额的合法有效增值税专用发票</w:t>
      </w:r>
      <w:r>
        <w:rPr>
          <w:rFonts w:hint="eastAsia" w:ascii="仿宋_GB2312" w:hAnsi="华文宋体" w:eastAsia="仿宋_GB2312"/>
          <w:b/>
          <w:bCs/>
          <w:sz w:val="28"/>
          <w:szCs w:val="28"/>
          <w:highlight w:val="none"/>
        </w:rPr>
        <w:t>（税率为13%）</w:t>
      </w:r>
      <w:r>
        <w:rPr>
          <w:rFonts w:hint="eastAsia" w:ascii="仿宋_GB2312" w:hAnsi="华文宋体" w:eastAsia="仿宋_GB2312"/>
          <w:sz w:val="28"/>
          <w:szCs w:val="28"/>
          <w:highlight w:val="none"/>
        </w:rPr>
        <w:t>和收款手续。</w:t>
      </w:r>
    </w:p>
    <w:p>
      <w:pPr>
        <w:spacing w:line="560" w:lineRule="exact"/>
        <w:ind w:firstLine="140" w:firstLineChars="50"/>
        <w:rPr>
          <w:rFonts w:ascii="仿宋_GB2312" w:hAnsi="华文宋体" w:eastAsia="仿宋_GB2312"/>
          <w:color w:val="FF0000"/>
          <w:sz w:val="28"/>
          <w:szCs w:val="28"/>
          <w:highlight w:val="none"/>
        </w:rPr>
      </w:pPr>
      <w:r>
        <w:rPr>
          <w:rFonts w:hint="eastAsia" w:ascii="仿宋_GB2312" w:hAnsi="华文宋体" w:eastAsia="仿宋_GB2312"/>
          <w:sz w:val="28"/>
          <w:szCs w:val="28"/>
          <w:highlight w:val="none"/>
        </w:rPr>
        <w:t>5.</w:t>
      </w:r>
      <w:r>
        <w:rPr>
          <w:rFonts w:hint="eastAsia" w:ascii="仿宋_GB2312" w:hAnsi="华文宋体" w:eastAsia="仿宋_GB2312"/>
          <w:sz w:val="28"/>
          <w:szCs w:val="28"/>
          <w:highlight w:val="none"/>
          <w:lang w:val="en-US" w:eastAsia="zh-CN"/>
        </w:rPr>
        <w:t>7、</w:t>
      </w:r>
      <w:r>
        <w:rPr>
          <w:rFonts w:hint="eastAsia" w:ascii="仿宋_GB2312" w:hAnsi="华文宋体" w:eastAsia="仿宋_GB2312"/>
          <w:sz w:val="28"/>
          <w:szCs w:val="28"/>
          <w:highlight w:val="none"/>
        </w:rPr>
        <w:t>从送货之日起，最长欠款期为玖拾日历天，如甲方未按期付款，乙方有权停止供货。</w:t>
      </w:r>
    </w:p>
    <w:p>
      <w:pPr>
        <w:spacing w:line="500" w:lineRule="exact"/>
        <w:ind w:firstLine="140" w:firstLineChars="50"/>
        <w:rPr>
          <w:rFonts w:ascii="仿宋_GB2312" w:hAnsi="华文宋体" w:eastAsia="仿宋_GB2312"/>
          <w:sz w:val="28"/>
          <w:szCs w:val="28"/>
        </w:rPr>
      </w:pPr>
      <w:r>
        <w:rPr>
          <w:rFonts w:hint="eastAsia" w:ascii="仿宋_GB2312" w:hAnsi="华文宋体" w:eastAsia="仿宋_GB2312"/>
          <w:sz w:val="28"/>
          <w:szCs w:val="28"/>
        </w:rPr>
        <w:t>5.</w:t>
      </w: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乙方信息：</w:t>
      </w:r>
    </w:p>
    <w:p>
      <w:pPr>
        <w:spacing w:line="500" w:lineRule="exact"/>
        <w:ind w:firstLine="141" w:firstLineChars="50"/>
        <w:rPr>
          <w:rFonts w:ascii="仿宋_GB2312" w:hAnsi="华文宋体" w:eastAsia="仿宋_GB2312"/>
          <w:b/>
          <w:sz w:val="28"/>
          <w:szCs w:val="28"/>
          <w:highlight w:val="none"/>
        </w:rPr>
      </w:pPr>
      <w:r>
        <w:rPr>
          <w:rFonts w:hint="eastAsia" w:ascii="仿宋_GB2312" w:hAnsi="华文宋体" w:eastAsia="仿宋_GB2312"/>
          <w:b/>
          <w:sz w:val="28"/>
          <w:szCs w:val="28"/>
        </w:rPr>
        <w:t>公司名称：</w:t>
      </w:r>
      <w:r>
        <w:rPr>
          <w:rFonts w:hint="eastAsia" w:ascii="仿宋_GB2312" w:hAnsi="华文宋体" w:eastAsia="仿宋_GB2312"/>
          <w:b/>
          <w:sz w:val="28"/>
          <w:szCs w:val="28"/>
          <w:u w:val="single"/>
        </w:rPr>
        <w:t xml:space="preserve"> </w:t>
      </w:r>
      <w:r>
        <w:rPr>
          <w:rFonts w:hint="eastAsia" w:ascii="仿宋_GB2312" w:hAnsi="华文宋体" w:eastAsia="仿宋_GB2312"/>
          <w:b/>
          <w:sz w:val="28"/>
          <w:szCs w:val="28"/>
          <w:highlight w:val="none"/>
          <w:u w:val="single"/>
          <w:lang w:val="en-US" w:eastAsia="zh-CN"/>
        </w:rPr>
        <w:t xml:space="preserve">           </w:t>
      </w:r>
      <w:r>
        <w:rPr>
          <w:rFonts w:hint="eastAsia" w:ascii="仿宋_GB2312" w:hAnsi="华文宋体" w:eastAsia="仿宋_GB2312"/>
          <w:b/>
          <w:sz w:val="28"/>
          <w:szCs w:val="28"/>
          <w:highlight w:val="none"/>
          <w:u w:val="single"/>
        </w:rPr>
        <w:t xml:space="preserve"> </w:t>
      </w:r>
    </w:p>
    <w:p>
      <w:pPr>
        <w:spacing w:line="500" w:lineRule="exact"/>
        <w:ind w:left="1546" w:leftChars="67" w:hanging="1405" w:hangingChars="500"/>
        <w:rPr>
          <w:rFonts w:ascii="仿宋_GB2312" w:hAnsi="华文宋体" w:eastAsia="仿宋_GB2312"/>
          <w:b/>
          <w:sz w:val="28"/>
          <w:szCs w:val="28"/>
          <w:highlight w:val="none"/>
        </w:rPr>
      </w:pPr>
      <w:r>
        <w:rPr>
          <w:rFonts w:hint="eastAsia" w:ascii="仿宋_GB2312" w:hAnsi="华文宋体" w:eastAsia="仿宋_GB2312"/>
          <w:b/>
          <w:sz w:val="28"/>
          <w:szCs w:val="28"/>
          <w:highlight w:val="none"/>
        </w:rPr>
        <w:t>公司地址：</w:t>
      </w:r>
      <w:r>
        <w:rPr>
          <w:rFonts w:hint="eastAsia" w:ascii="仿宋_GB2312" w:hAnsi="华文宋体" w:eastAsia="仿宋_GB2312"/>
          <w:b/>
          <w:sz w:val="28"/>
          <w:szCs w:val="28"/>
          <w:highlight w:val="none"/>
          <w:u w:val="single"/>
        </w:rPr>
        <w:t xml:space="preserve"> </w:t>
      </w:r>
      <w:r>
        <w:rPr>
          <w:rFonts w:hint="eastAsia" w:ascii="仿宋_GB2312" w:hAnsi="华文宋体" w:eastAsia="仿宋_GB2312"/>
          <w:b/>
          <w:sz w:val="28"/>
          <w:szCs w:val="28"/>
          <w:highlight w:val="none"/>
          <w:u w:val="single"/>
          <w:lang w:val="en-US" w:eastAsia="zh-CN"/>
        </w:rPr>
        <w:t xml:space="preserve">          </w:t>
      </w:r>
      <w:r>
        <w:rPr>
          <w:rFonts w:hint="eastAsia" w:ascii="仿宋_GB2312" w:hAnsi="华文宋体" w:eastAsia="仿宋_GB2312"/>
          <w:b/>
          <w:sz w:val="28"/>
          <w:szCs w:val="28"/>
          <w:highlight w:val="none"/>
          <w:u w:val="single"/>
        </w:rPr>
        <w:t xml:space="preserve">  </w:t>
      </w:r>
    </w:p>
    <w:p>
      <w:pPr>
        <w:spacing w:line="500" w:lineRule="exact"/>
        <w:ind w:firstLine="141" w:firstLineChars="50"/>
        <w:rPr>
          <w:rFonts w:ascii="仿宋_GB2312" w:hAnsi="华文宋体" w:eastAsia="仿宋_GB2312"/>
          <w:b/>
          <w:sz w:val="28"/>
          <w:szCs w:val="28"/>
          <w:highlight w:val="none"/>
        </w:rPr>
      </w:pPr>
      <w:r>
        <w:rPr>
          <w:rFonts w:hint="eastAsia" w:ascii="仿宋_GB2312" w:hAnsi="华文宋体" w:eastAsia="仿宋_GB2312"/>
          <w:b/>
          <w:sz w:val="28"/>
          <w:szCs w:val="28"/>
          <w:highlight w:val="none"/>
        </w:rPr>
        <w:t>开户银行：</w:t>
      </w:r>
      <w:r>
        <w:rPr>
          <w:rFonts w:hint="eastAsia" w:ascii="仿宋_GB2312" w:hAnsi="华文宋体" w:eastAsia="仿宋_GB2312"/>
          <w:b/>
          <w:sz w:val="28"/>
          <w:szCs w:val="28"/>
          <w:highlight w:val="none"/>
          <w:u w:val="single"/>
        </w:rPr>
        <w:t xml:space="preserve"> </w:t>
      </w:r>
      <w:r>
        <w:rPr>
          <w:rFonts w:hint="eastAsia" w:ascii="仿宋_GB2312" w:hAnsi="华文宋体" w:eastAsia="仿宋_GB2312"/>
          <w:b/>
          <w:sz w:val="28"/>
          <w:szCs w:val="28"/>
          <w:highlight w:val="none"/>
          <w:u w:val="single"/>
          <w:lang w:val="en-US" w:eastAsia="zh-CN"/>
        </w:rPr>
        <w:t xml:space="preserve">  </w:t>
      </w:r>
      <w:r>
        <w:rPr>
          <w:rFonts w:hint="eastAsia" w:ascii="仿宋_GB2312" w:hAnsi="华文宋体" w:eastAsia="仿宋_GB2312"/>
          <w:b/>
          <w:sz w:val="28"/>
          <w:szCs w:val="28"/>
          <w:highlight w:val="none"/>
          <w:u w:val="single"/>
        </w:rPr>
        <w:t xml:space="preserve">          </w:t>
      </w:r>
    </w:p>
    <w:p>
      <w:pPr>
        <w:spacing w:line="500" w:lineRule="exact"/>
        <w:ind w:firstLine="141" w:firstLineChars="50"/>
        <w:rPr>
          <w:rFonts w:ascii="仿宋_GB2312" w:hAnsi="华文宋体" w:eastAsia="仿宋_GB2312"/>
          <w:b/>
          <w:sz w:val="28"/>
          <w:szCs w:val="28"/>
          <w:highlight w:val="none"/>
          <w:u w:val="single"/>
        </w:rPr>
      </w:pPr>
      <w:r>
        <w:rPr>
          <w:rFonts w:hint="eastAsia" w:ascii="仿宋_GB2312" w:hAnsi="华文宋体" w:eastAsia="仿宋_GB2312"/>
          <w:b/>
          <w:sz w:val="28"/>
          <w:szCs w:val="28"/>
          <w:highlight w:val="none"/>
        </w:rPr>
        <w:t>账    号：</w:t>
      </w:r>
      <w:r>
        <w:rPr>
          <w:rFonts w:hint="eastAsia" w:ascii="仿宋_GB2312" w:hAnsi="华文宋体" w:eastAsia="仿宋_GB2312"/>
          <w:b/>
          <w:sz w:val="28"/>
          <w:szCs w:val="28"/>
          <w:highlight w:val="none"/>
          <w:u w:val="single"/>
        </w:rPr>
        <w:t xml:space="preserve"> </w:t>
      </w:r>
      <w:r>
        <w:rPr>
          <w:rFonts w:hint="eastAsia" w:ascii="仿宋_GB2312" w:hAnsi="华文宋体" w:eastAsia="仿宋_GB2312"/>
          <w:b/>
          <w:sz w:val="28"/>
          <w:szCs w:val="28"/>
          <w:highlight w:val="none"/>
          <w:u w:val="single"/>
          <w:lang w:val="en-US" w:eastAsia="zh-CN"/>
        </w:rPr>
        <w:t xml:space="preserve">   </w:t>
      </w:r>
      <w:r>
        <w:rPr>
          <w:rFonts w:hint="eastAsia" w:ascii="仿宋_GB2312" w:hAnsi="华文宋体" w:eastAsia="仿宋_GB2312"/>
          <w:b/>
          <w:sz w:val="28"/>
          <w:szCs w:val="28"/>
          <w:highlight w:val="none"/>
          <w:u w:val="single"/>
        </w:rPr>
        <w:t xml:space="preserve">         </w:t>
      </w:r>
    </w:p>
    <w:p>
      <w:pPr>
        <w:spacing w:line="560" w:lineRule="exact"/>
        <w:ind w:firstLine="700" w:firstLineChars="250"/>
        <w:rPr>
          <w:rFonts w:hint="eastAsia" w:ascii="仿宋_GB2312" w:hAnsi="华文宋体" w:eastAsia="仿宋_GB2312"/>
          <w:sz w:val="28"/>
          <w:szCs w:val="28"/>
        </w:rPr>
      </w:pPr>
      <w:r>
        <w:rPr>
          <w:rFonts w:hint="eastAsia" w:ascii="仿宋_GB2312" w:hAnsi="华文宋体" w:eastAsia="仿宋_GB2312"/>
          <w:color w:val="000000" w:themeColor="text1"/>
          <w:sz w:val="28"/>
          <w:szCs w:val="28"/>
          <w:highlight w:val="none"/>
          <w14:textFill>
            <w14:solidFill>
              <w14:schemeClr w14:val="tx1"/>
            </w14:solidFill>
          </w14:textFill>
        </w:rPr>
        <w:t>开户行：此账号为供方银行收款的唯一账号，如</w:t>
      </w:r>
      <w:r>
        <w:rPr>
          <w:rFonts w:hint="eastAsia" w:ascii="仿宋_GB2312" w:hAnsi="华文宋体" w:eastAsia="仿宋_GB2312"/>
          <w:sz w:val="28"/>
          <w:szCs w:val="28"/>
          <w:highlight w:val="none"/>
        </w:rPr>
        <w:t>需变更需双方另行签订补充协议。若供方未与需方签订补充协议而变更收款账号的，需方向原指定收款账户转款的，视为已向供方支付相应货款。</w:t>
      </w:r>
    </w:p>
    <w:p>
      <w:pPr>
        <w:ind w:firstLine="141" w:firstLineChars="50"/>
        <w:rPr>
          <w:rFonts w:ascii="仿宋_GB2312" w:hAnsi="华文宋体" w:eastAsia="仿宋_GB2312"/>
          <w:b/>
          <w:sz w:val="28"/>
          <w:szCs w:val="28"/>
        </w:rPr>
      </w:pPr>
      <w:r>
        <w:rPr>
          <w:rFonts w:hint="eastAsia" w:ascii="仿宋_GB2312" w:hAnsi="华文宋体" w:eastAsia="仿宋_GB2312"/>
          <w:b/>
          <w:sz w:val="28"/>
          <w:szCs w:val="28"/>
        </w:rPr>
        <w:t>6、安全条款</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6.1、甲乙双方应当谨慎履行本合同约定之义务，保证自身、对方及第三方人身及财产安全。</w:t>
      </w:r>
    </w:p>
    <w:p>
      <w:pPr>
        <w:ind w:firstLine="140" w:firstLineChars="50"/>
        <w:rPr>
          <w:rFonts w:hint="eastAsia" w:ascii="仿宋_GB2312" w:hAnsi="华文宋体" w:eastAsia="仿宋_GB2312"/>
          <w:sz w:val="28"/>
          <w:szCs w:val="28"/>
        </w:rPr>
      </w:pPr>
      <w:r>
        <w:rPr>
          <w:rFonts w:hint="eastAsia" w:ascii="仿宋_GB2312" w:hAnsi="华文宋体" w:eastAsia="仿宋_GB2312"/>
          <w:sz w:val="28"/>
          <w:szCs w:val="28"/>
        </w:rPr>
        <w:t>6.2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firstLine="141" w:firstLineChars="50"/>
        <w:rPr>
          <w:rFonts w:ascii="仿宋_GB2312" w:hAnsi="华文宋体" w:eastAsia="仿宋_GB2312"/>
          <w:b/>
          <w:sz w:val="28"/>
          <w:szCs w:val="28"/>
        </w:rPr>
      </w:pPr>
      <w:r>
        <w:rPr>
          <w:rFonts w:hint="eastAsia" w:ascii="仿宋_GB2312" w:hAnsi="华文宋体" w:eastAsia="仿宋_GB2312"/>
          <w:b/>
          <w:sz w:val="28"/>
          <w:szCs w:val="28"/>
        </w:rPr>
        <w:t>7、合同变更和终止</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7.1</w:t>
      </w:r>
      <w:r>
        <w:rPr>
          <w:rFonts w:hint="eastAsia" w:ascii="仿宋_GB2312" w:hAnsi="华文宋体" w:eastAsia="仿宋_GB2312"/>
          <w:sz w:val="28"/>
          <w:szCs w:val="28"/>
          <w:lang w:eastAsia="zh-CN"/>
        </w:rPr>
        <w:t>、</w:t>
      </w:r>
      <w:r>
        <w:rPr>
          <w:rFonts w:hint="eastAsia" w:ascii="仿宋_GB2312" w:hAnsi="华文宋体" w:eastAsia="仿宋_GB2312"/>
          <w:sz w:val="28"/>
          <w:szCs w:val="28"/>
        </w:rPr>
        <w:t>经甲乙双方协议一致，可以变更或终止本合同。变更或终止本合同时，应当签署书面变更或终止协议，变更或终止合同书面生效前，本合同仍有效，并应为各方所守信。任何一方欲变更或解除本合同的，应当提前30天向对方提交书面说明书。</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7.2</w:t>
      </w:r>
      <w:r>
        <w:rPr>
          <w:rFonts w:hint="eastAsia" w:ascii="仿宋_GB2312" w:hAnsi="华文宋体" w:eastAsia="仿宋_GB2312"/>
          <w:sz w:val="28"/>
          <w:szCs w:val="28"/>
          <w:lang w:eastAsia="zh-CN"/>
        </w:rPr>
        <w:t>、</w:t>
      </w:r>
      <w:r>
        <w:rPr>
          <w:rFonts w:hint="eastAsia" w:ascii="仿宋_GB2312" w:hAnsi="华文宋体" w:eastAsia="仿宋_GB2312"/>
          <w:sz w:val="28"/>
          <w:szCs w:val="28"/>
        </w:rPr>
        <w:t>本合同的任何修改均须以甲乙双方签字盖章的书面文件作出。</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7.3</w:t>
      </w:r>
      <w:r>
        <w:rPr>
          <w:rFonts w:hint="eastAsia" w:ascii="仿宋_GB2312" w:hAnsi="华文宋体" w:eastAsia="仿宋_GB2312"/>
          <w:sz w:val="28"/>
          <w:szCs w:val="28"/>
          <w:lang w:eastAsia="zh-CN"/>
        </w:rPr>
        <w:t>、</w:t>
      </w:r>
      <w:r>
        <w:rPr>
          <w:rFonts w:hint="eastAsia" w:ascii="仿宋_GB2312" w:hAnsi="华文宋体" w:eastAsia="仿宋_GB2312"/>
          <w:sz w:val="28"/>
          <w:szCs w:val="28"/>
        </w:rPr>
        <w:t>乙方有下列情形时，甲方有权不承担任何责任的单方面解除本合同。</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7.3.1</w:t>
      </w:r>
      <w:r>
        <w:rPr>
          <w:rFonts w:hint="eastAsia" w:ascii="仿宋_GB2312" w:hAnsi="华文宋体" w:eastAsia="仿宋_GB2312"/>
          <w:sz w:val="28"/>
          <w:szCs w:val="28"/>
          <w:lang w:eastAsia="zh-CN"/>
        </w:rPr>
        <w:t>、</w:t>
      </w:r>
      <w:r>
        <w:rPr>
          <w:rFonts w:hint="eastAsia" w:ascii="仿宋_GB2312" w:hAnsi="华文宋体" w:eastAsia="仿宋_GB2312"/>
          <w:sz w:val="28"/>
          <w:szCs w:val="28"/>
        </w:rPr>
        <w:t>乙方逾期10日以上未交付合格产品的；</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7.3.2</w:t>
      </w:r>
      <w:r>
        <w:rPr>
          <w:rFonts w:hint="eastAsia" w:ascii="仿宋_GB2312" w:hAnsi="华文宋体" w:eastAsia="仿宋_GB2312"/>
          <w:sz w:val="28"/>
          <w:szCs w:val="28"/>
          <w:lang w:eastAsia="zh-CN"/>
        </w:rPr>
        <w:t>、</w:t>
      </w:r>
      <w:r>
        <w:rPr>
          <w:rFonts w:hint="eastAsia" w:ascii="仿宋_GB2312" w:hAnsi="华文宋体" w:eastAsia="仿宋_GB2312"/>
          <w:sz w:val="28"/>
          <w:szCs w:val="28"/>
        </w:rPr>
        <w:t>乙方提供货物经检验为不合格产品时；</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rPr>
        <w:t>7.3.3</w:t>
      </w:r>
      <w:r>
        <w:rPr>
          <w:rFonts w:hint="eastAsia" w:ascii="仿宋_GB2312" w:hAnsi="华文宋体" w:eastAsia="仿宋_GB2312"/>
          <w:sz w:val="28"/>
          <w:szCs w:val="28"/>
          <w:lang w:eastAsia="zh-CN"/>
        </w:rPr>
        <w:t>、</w:t>
      </w:r>
      <w:r>
        <w:rPr>
          <w:rFonts w:hint="eastAsia" w:ascii="仿宋_GB2312" w:hAnsi="华文宋体" w:eastAsia="仿宋_GB2312"/>
          <w:sz w:val="28"/>
          <w:szCs w:val="28"/>
        </w:rPr>
        <w:t>乙方交付的产品质量不符合本合同约定质量标准的。</w:t>
      </w:r>
    </w:p>
    <w:p>
      <w:pPr>
        <w:ind w:firstLine="140" w:firstLineChars="50"/>
        <w:rPr>
          <w:rFonts w:hint="eastAsia" w:ascii="仿宋_GB2312" w:hAnsi="华文宋体" w:eastAsia="仿宋_GB2312"/>
          <w:sz w:val="28"/>
          <w:szCs w:val="28"/>
        </w:rPr>
      </w:pPr>
      <w:r>
        <w:rPr>
          <w:rFonts w:hint="eastAsia" w:ascii="仿宋_GB2312" w:hAnsi="华文宋体" w:eastAsia="仿宋_GB2312"/>
          <w:sz w:val="28"/>
          <w:szCs w:val="28"/>
        </w:rPr>
        <w:t>7.4</w:t>
      </w:r>
      <w:r>
        <w:rPr>
          <w:rFonts w:hint="eastAsia" w:ascii="仿宋_GB2312" w:hAnsi="华文宋体" w:eastAsia="仿宋_GB2312"/>
          <w:sz w:val="28"/>
          <w:szCs w:val="28"/>
          <w:lang w:eastAsia="zh-CN"/>
        </w:rPr>
        <w:t>、</w:t>
      </w:r>
      <w:r>
        <w:rPr>
          <w:rFonts w:hint="eastAsia" w:ascii="仿宋_GB2312" w:hAnsi="华文宋体" w:eastAsia="仿宋_GB2312"/>
          <w:sz w:val="28"/>
          <w:szCs w:val="28"/>
        </w:rPr>
        <w:t>任何一方依照本合同约定单方解除本合同的，并不影响该方依据本合同的相关约定要求对方承担违约责任。</w:t>
      </w:r>
    </w:p>
    <w:p>
      <w:pPr>
        <w:ind w:firstLine="141" w:firstLineChars="50"/>
        <w:rPr>
          <w:rFonts w:ascii="仿宋_GB2312" w:hAnsi="华文宋体" w:eastAsia="仿宋_GB2312"/>
          <w:b/>
          <w:color w:val="auto"/>
          <w:sz w:val="28"/>
          <w:szCs w:val="28"/>
        </w:rPr>
      </w:pPr>
      <w:r>
        <w:rPr>
          <w:rFonts w:hint="eastAsia" w:ascii="仿宋_GB2312" w:hAnsi="华文宋体" w:eastAsia="仿宋_GB2312"/>
          <w:b/>
          <w:color w:val="auto"/>
          <w:sz w:val="28"/>
          <w:szCs w:val="28"/>
          <w:lang w:val="en-US" w:eastAsia="zh-CN"/>
        </w:rPr>
        <w:t>8</w:t>
      </w:r>
      <w:r>
        <w:rPr>
          <w:rFonts w:hint="eastAsia" w:ascii="仿宋_GB2312" w:hAnsi="华文宋体" w:eastAsia="仿宋_GB2312"/>
          <w:b/>
          <w:color w:val="auto"/>
          <w:sz w:val="28"/>
          <w:szCs w:val="28"/>
        </w:rPr>
        <w:t>、违约责任</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.1</w:t>
      </w:r>
      <w:r>
        <w:rPr>
          <w:rFonts w:hint="eastAsia" w:ascii="仿宋_GB2312" w:hAnsi="华文宋体" w:eastAsia="仿宋_GB2312"/>
          <w:sz w:val="28"/>
          <w:szCs w:val="28"/>
          <w:lang w:eastAsia="zh-CN"/>
        </w:rPr>
        <w:t>、</w:t>
      </w:r>
      <w:r>
        <w:rPr>
          <w:rFonts w:hint="eastAsia" w:ascii="仿宋_GB2312" w:hAnsi="华文宋体" w:eastAsia="仿宋_GB2312"/>
          <w:sz w:val="28"/>
          <w:szCs w:val="28"/>
        </w:rPr>
        <w:t>本合同任何一方违反本合同任一条款的，均构成违约，应当承担因此给对方造成的全部损失。</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.2</w:t>
      </w:r>
      <w:r>
        <w:rPr>
          <w:rFonts w:hint="eastAsia" w:ascii="仿宋_GB2312" w:hAnsi="华文宋体" w:eastAsia="仿宋_GB2312"/>
          <w:sz w:val="28"/>
          <w:szCs w:val="28"/>
          <w:lang w:eastAsia="zh-CN"/>
        </w:rPr>
        <w:t>、</w:t>
      </w:r>
      <w:r>
        <w:rPr>
          <w:rFonts w:hint="eastAsia" w:ascii="仿宋_GB2312" w:hAnsi="华文宋体" w:eastAsia="仿宋_GB2312"/>
          <w:color w:val="000000" w:themeColor="text1"/>
          <w:sz w:val="28"/>
          <w:szCs w:val="28"/>
          <w14:textFill>
            <w14:solidFill>
              <w14:schemeClr w14:val="tx1"/>
            </w14:solidFill>
          </w14:textFill>
        </w:rPr>
        <w:t>乙方</w:t>
      </w:r>
      <w:r>
        <w:rPr>
          <w:rFonts w:hint="eastAsia" w:ascii="仿宋_GB2312" w:hAnsi="华文宋体" w:eastAsia="仿宋_GB2312"/>
          <w:sz w:val="28"/>
          <w:szCs w:val="28"/>
        </w:rPr>
        <w:t>擅自解除本合同的，应向甲方支付合同金额10%的违约金，并赔偿因此给甲方造成的损失。</w:t>
      </w:r>
    </w:p>
    <w:p>
      <w:pPr>
        <w:ind w:firstLine="140" w:firstLineChars="50"/>
        <w:rPr>
          <w:rFonts w:ascii="仿宋_GB2312" w:hAnsi="华文宋体" w:eastAsia="仿宋_GB2312"/>
          <w:color w:val="auto"/>
          <w:sz w:val="28"/>
          <w:szCs w:val="28"/>
        </w:rPr>
      </w:pPr>
      <w:r>
        <w:rPr>
          <w:rFonts w:hint="eastAsia" w:ascii="仿宋_GB2312" w:hAnsi="华文宋体" w:eastAsia="仿宋_GB2312"/>
          <w:color w:val="auto"/>
          <w:sz w:val="28"/>
          <w:szCs w:val="28"/>
          <w:lang w:val="en-US" w:eastAsia="zh-CN"/>
        </w:rPr>
        <w:t>8</w:t>
      </w:r>
      <w:r>
        <w:rPr>
          <w:rFonts w:hint="eastAsia" w:ascii="仿宋_GB2312" w:hAnsi="华文宋体" w:eastAsia="仿宋_GB2312"/>
          <w:color w:val="auto"/>
          <w:sz w:val="28"/>
          <w:szCs w:val="28"/>
        </w:rPr>
        <w:t>.3</w:t>
      </w:r>
      <w:r>
        <w:rPr>
          <w:rFonts w:hint="eastAsia" w:ascii="仿宋_GB2312" w:hAnsi="华文宋体" w:eastAsia="仿宋_GB2312"/>
          <w:color w:val="auto"/>
          <w:sz w:val="28"/>
          <w:szCs w:val="28"/>
          <w:lang w:eastAsia="zh-CN"/>
        </w:rPr>
        <w:t>、</w:t>
      </w:r>
      <w:r>
        <w:rPr>
          <w:rFonts w:hint="eastAsia" w:ascii="仿宋_GB2312" w:hAnsi="华文宋体" w:eastAsia="仿宋_GB2312"/>
          <w:color w:val="auto"/>
          <w:sz w:val="28"/>
          <w:szCs w:val="28"/>
        </w:rPr>
        <w:t>乙方逾期交付产品的，</w:t>
      </w:r>
      <w:r>
        <w:rPr>
          <w:rFonts w:hint="eastAsia" w:ascii="仿宋_GB2312" w:hAnsi="华文宋体" w:eastAsia="仿宋_GB2312"/>
          <w:color w:val="auto"/>
          <w:sz w:val="28"/>
          <w:szCs w:val="28"/>
          <w:highlight w:val="none"/>
        </w:rPr>
        <w:t>允许乙方存在</w:t>
      </w:r>
      <w:r>
        <w:rPr>
          <w:rFonts w:hint="eastAsia" w:ascii="仿宋_GB2312" w:hAnsi="华文宋体" w:eastAsia="仿宋_GB2312"/>
          <w:color w:val="auto"/>
          <w:sz w:val="28"/>
          <w:szCs w:val="28"/>
          <w:highlight w:val="none"/>
          <w:lang w:val="en-US" w:eastAsia="zh-CN"/>
        </w:rPr>
        <w:t>3</w:t>
      </w:r>
      <w:r>
        <w:rPr>
          <w:rFonts w:hint="eastAsia" w:ascii="仿宋_GB2312" w:hAnsi="华文宋体" w:eastAsia="仿宋_GB2312"/>
          <w:color w:val="auto"/>
          <w:sz w:val="28"/>
          <w:szCs w:val="28"/>
          <w:highlight w:val="none"/>
        </w:rPr>
        <w:t>天的违约行为</w:t>
      </w:r>
      <w:r>
        <w:rPr>
          <w:rFonts w:hint="eastAsia" w:ascii="仿宋_GB2312" w:hAnsi="华文宋体" w:eastAsia="仿宋_GB2312"/>
          <w:color w:val="auto"/>
          <w:sz w:val="28"/>
          <w:szCs w:val="28"/>
        </w:rPr>
        <w:t>，超过交货规定时限后第2天开始，每逾期一日，应向甲方支付合同价款0.5‰的违约金，并赔偿因此给甲方造成的全部损失。</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.4</w:t>
      </w:r>
      <w:r>
        <w:rPr>
          <w:rFonts w:hint="eastAsia" w:ascii="仿宋_GB2312" w:hAnsi="华文宋体" w:eastAsia="仿宋_GB2312"/>
          <w:sz w:val="28"/>
          <w:szCs w:val="28"/>
          <w:lang w:eastAsia="zh-CN"/>
        </w:rPr>
        <w:t>、</w:t>
      </w:r>
      <w:r>
        <w:rPr>
          <w:rFonts w:hint="eastAsia" w:ascii="仿宋_GB2312" w:hAnsi="华文宋体" w:eastAsia="仿宋_GB2312"/>
          <w:sz w:val="28"/>
          <w:szCs w:val="28"/>
        </w:rPr>
        <w:t>乙方所交货物品种、型号、规格、花色、质量不符合同规定的，如甲方同意使用的，应按质论价；甲方拒绝使用的，乙方应及时重新供货和将原货物拖离现场，并承担由此产生的全部费用。</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.5、乙方违反本合同1.2条导致甲方遭受相关指控或诉讼的，乙方应参加由此引发的诉讼、仲裁或其他争议解决，并赔偿因此给甲方造成的全部损失。</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.6、因乙方违反本合同约定造成甲方受到相关部门处罚或者对任何第三方承担责任的，乙方应当赔偿因此给甲方造成的全部损失。</w:t>
      </w:r>
    </w:p>
    <w:p>
      <w:pPr>
        <w:ind w:firstLine="140" w:firstLineChars="50"/>
        <w:rPr>
          <w:rFonts w:hint="eastAsia" w:ascii="仿宋_GB2312" w:hAnsi="华文宋体" w:eastAsia="仿宋_GB2312"/>
          <w:sz w:val="28"/>
          <w:szCs w:val="28"/>
        </w:rPr>
      </w:pPr>
      <w:r>
        <w:rPr>
          <w:rFonts w:hint="eastAsia" w:ascii="仿宋_GB2312" w:hAnsi="华文宋体" w:eastAsia="仿宋_GB2312"/>
          <w:sz w:val="28"/>
          <w:szCs w:val="28"/>
          <w:lang w:val="en-US" w:eastAsia="zh-CN"/>
        </w:rPr>
        <w:t>8</w:t>
      </w:r>
      <w:r>
        <w:rPr>
          <w:rFonts w:hint="eastAsia" w:ascii="仿宋_GB2312" w:hAnsi="华文宋体" w:eastAsia="仿宋_GB2312"/>
          <w:sz w:val="28"/>
          <w:szCs w:val="28"/>
        </w:rPr>
        <w:t>.7、违约金不得累加到货款中再次计算违约金，如出现重复计算违约金，乙方无条件退多计算的违约金给甲方。</w:t>
      </w:r>
    </w:p>
    <w:p>
      <w:pPr>
        <w:ind w:firstLine="141" w:firstLineChars="50"/>
        <w:rPr>
          <w:rFonts w:ascii="仿宋_GB2312" w:hAnsi="华文宋体" w:eastAsia="仿宋_GB2312"/>
          <w:b/>
          <w:sz w:val="28"/>
          <w:szCs w:val="28"/>
        </w:rPr>
      </w:pPr>
      <w:r>
        <w:rPr>
          <w:rFonts w:hint="eastAsia" w:ascii="仿宋_GB2312" w:hAnsi="华文宋体" w:eastAsia="仿宋_GB2312"/>
          <w:b/>
          <w:color w:val="auto"/>
          <w:sz w:val="28"/>
          <w:szCs w:val="28"/>
          <w:lang w:val="en-US" w:eastAsia="zh-CN"/>
        </w:rPr>
        <w:t>9</w:t>
      </w:r>
      <w:r>
        <w:rPr>
          <w:rFonts w:hint="eastAsia" w:ascii="仿宋_GB2312" w:hAnsi="华文宋体" w:eastAsia="仿宋_GB2312"/>
          <w:b/>
          <w:color w:val="auto"/>
          <w:sz w:val="28"/>
          <w:szCs w:val="28"/>
        </w:rPr>
        <w:t>、</w:t>
      </w:r>
      <w:r>
        <w:rPr>
          <w:rFonts w:hint="eastAsia" w:ascii="仿宋_GB2312" w:hAnsi="华文宋体" w:eastAsia="仿宋_GB2312"/>
          <w:b/>
          <w:sz w:val="28"/>
          <w:szCs w:val="28"/>
        </w:rPr>
        <w:t>不可抗力</w:t>
      </w:r>
    </w:p>
    <w:p>
      <w:pPr>
        <w:ind w:firstLine="140" w:firstLineChars="50"/>
        <w:rPr>
          <w:rFonts w:ascii="仿宋_GB2312" w:hAnsi="华文宋体" w:eastAsia="仿宋_GB2312"/>
          <w:sz w:val="28"/>
          <w:szCs w:val="28"/>
        </w:rPr>
      </w:pPr>
      <w:r>
        <w:rPr>
          <w:rFonts w:hint="eastAsia" w:ascii="仿宋_GB2312" w:hAnsi="华文宋体" w:eastAsia="仿宋_GB2312"/>
          <w:sz w:val="28"/>
          <w:szCs w:val="28"/>
          <w:lang w:val="en-US" w:eastAsia="zh-CN"/>
        </w:rPr>
        <w:t>9</w:t>
      </w:r>
      <w:r>
        <w:rPr>
          <w:rFonts w:hint="eastAsia" w:ascii="仿宋_GB2312" w:hAnsi="华文宋体" w:eastAsia="仿宋_GB2312"/>
          <w:sz w:val="28"/>
          <w:szCs w:val="28"/>
        </w:rPr>
        <w:t>.1</w:t>
      </w:r>
      <w:r>
        <w:rPr>
          <w:rFonts w:ascii="仿宋_GB2312" w:hAnsi="华文宋体" w:eastAsia="仿宋_GB2312"/>
          <w:sz w:val="28"/>
          <w:szCs w:val="28"/>
        </w:rPr>
        <w:t xml:space="preserve"> </w:t>
      </w:r>
      <w:r>
        <w:rPr>
          <w:rFonts w:hint="eastAsia" w:ascii="仿宋_GB2312" w:hAnsi="华文宋体" w:eastAsia="仿宋_GB2312"/>
          <w:sz w:val="28"/>
          <w:szCs w:val="28"/>
        </w:rPr>
        <w:t>、“不可抗力”是指本合同签订后发生的、受影响一方无法预见、无法避免并无法克服的客观情况。此等事件包括但不限于水灾、火灾、旱灾、台风、地震及其他自然灾害、罢工、骚动、暴乱及战争以及政府部门的作为或不作为。</w:t>
      </w:r>
    </w:p>
    <w:p>
      <w:pPr>
        <w:ind w:firstLine="140" w:firstLineChars="50"/>
        <w:rPr>
          <w:rFonts w:hint="eastAsia" w:ascii="仿宋_GB2312" w:hAnsi="华文宋体" w:eastAsia="仿宋_GB2312"/>
          <w:sz w:val="28"/>
          <w:szCs w:val="28"/>
        </w:rPr>
      </w:pPr>
      <w:r>
        <w:rPr>
          <w:rFonts w:hint="eastAsia" w:ascii="仿宋_GB2312" w:hAnsi="华文宋体" w:eastAsia="仿宋_GB2312"/>
          <w:sz w:val="28"/>
          <w:szCs w:val="28"/>
          <w:lang w:val="en-US" w:eastAsia="zh-CN"/>
        </w:rPr>
        <w:t>9</w:t>
      </w:r>
      <w:r>
        <w:rPr>
          <w:rFonts w:hint="eastAsia" w:ascii="仿宋_GB2312" w:hAnsi="华文宋体" w:eastAsia="仿宋_GB2312"/>
          <w:sz w:val="28"/>
          <w:szCs w:val="28"/>
        </w:rPr>
        <w:t>.2、如因不可抗力原因导致本合同无法履行或造成一方违约的，互不承担责任，但应将不可抗力事由及时告知对方。</w:t>
      </w:r>
    </w:p>
    <w:p>
      <w:pPr>
        <w:rPr>
          <w:rFonts w:ascii="仿宋_GB2312" w:hAnsi="华文宋体" w:eastAsia="仿宋_GB2312"/>
          <w:b/>
          <w:color w:val="auto"/>
          <w:sz w:val="28"/>
          <w:szCs w:val="28"/>
        </w:rPr>
      </w:pPr>
      <w:r>
        <w:rPr>
          <w:rFonts w:hint="eastAsia" w:ascii="仿宋_GB2312" w:hAnsi="华文宋体" w:eastAsia="仿宋_GB2312"/>
          <w:b/>
          <w:color w:val="auto"/>
          <w:sz w:val="28"/>
          <w:szCs w:val="28"/>
        </w:rPr>
        <w:t>1</w:t>
      </w:r>
      <w:r>
        <w:rPr>
          <w:rFonts w:hint="eastAsia" w:ascii="仿宋_GB2312" w:hAnsi="华文宋体" w:eastAsia="仿宋_GB2312"/>
          <w:b/>
          <w:color w:val="auto"/>
          <w:sz w:val="28"/>
          <w:szCs w:val="28"/>
          <w:lang w:val="en-US" w:eastAsia="zh-CN"/>
        </w:rPr>
        <w:t>0</w:t>
      </w:r>
      <w:r>
        <w:rPr>
          <w:rFonts w:hint="eastAsia" w:ascii="仿宋_GB2312" w:hAnsi="华文宋体" w:eastAsia="仿宋_GB2312"/>
          <w:b/>
          <w:color w:val="auto"/>
          <w:sz w:val="28"/>
          <w:szCs w:val="28"/>
        </w:rPr>
        <w:t>、争议解决</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0</w:t>
      </w:r>
      <w:r>
        <w:rPr>
          <w:rFonts w:hint="eastAsia" w:ascii="仿宋_GB2312" w:hAnsi="华文宋体" w:eastAsia="仿宋_GB2312"/>
          <w:sz w:val="28"/>
          <w:szCs w:val="28"/>
        </w:rPr>
        <w:t>.1、甲乙双方因本合同发生争议，应当有好协商；协商不成，双方同意将本合同引起的或与本合同有关的一切争议提交</w:t>
      </w:r>
      <w:r>
        <w:rPr>
          <w:rFonts w:hint="eastAsia" w:ascii="仿宋_GB2312" w:hAnsi="华文宋体" w:eastAsia="仿宋_GB2312"/>
          <w:b/>
          <w:bCs/>
          <w:sz w:val="28"/>
          <w:szCs w:val="28"/>
        </w:rPr>
        <w:t>甲方所在地</w:t>
      </w:r>
      <w:r>
        <w:rPr>
          <w:rFonts w:hint="eastAsia" w:ascii="仿宋_GB2312" w:hAnsi="华文宋体" w:eastAsia="仿宋_GB2312"/>
          <w:sz w:val="28"/>
          <w:szCs w:val="28"/>
        </w:rPr>
        <w:t>人民法院诉讼解决。</w:t>
      </w:r>
    </w:p>
    <w:p>
      <w:pPr>
        <w:rPr>
          <w:rFonts w:hint="eastAsia"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0</w:t>
      </w:r>
      <w:r>
        <w:rPr>
          <w:rFonts w:hint="eastAsia" w:ascii="仿宋_GB2312" w:hAnsi="华文宋体" w:eastAsia="仿宋_GB2312"/>
          <w:sz w:val="28"/>
          <w:szCs w:val="28"/>
        </w:rPr>
        <w:t>.2、争议解决条款不因本合同的无效、解除、终止或权利义务的转让等而无效。</w:t>
      </w:r>
    </w:p>
    <w:p>
      <w:pPr>
        <w:rPr>
          <w:rFonts w:hint="eastAsia"/>
        </w:rPr>
      </w:pPr>
      <w:r>
        <w:rPr>
          <w:rFonts w:hint="eastAsia" w:ascii="仿宋_GB2312" w:hAnsi="华文宋体" w:eastAsia="仿宋_GB2312"/>
          <w:color w:val="000000" w:themeColor="text1"/>
          <w:sz w:val="28"/>
          <w:szCs w:val="28"/>
          <w:highlight w:val="none"/>
          <w14:textFill>
            <w14:solidFill>
              <w14:schemeClr w14:val="tx1"/>
            </w14:solidFill>
          </w14:textFill>
        </w:rPr>
        <w:t>1</w:t>
      </w:r>
      <w:r>
        <w:rPr>
          <w:rFonts w:hint="eastAsia" w:ascii="仿宋_GB2312" w:hAnsi="华文宋体" w:eastAsia="仿宋_GB2312"/>
          <w:color w:val="000000" w:themeColor="text1"/>
          <w:sz w:val="28"/>
          <w:szCs w:val="28"/>
          <w:highlight w:val="none"/>
          <w:lang w:val="en-US" w:eastAsia="zh-CN"/>
          <w14:textFill>
            <w14:solidFill>
              <w14:schemeClr w14:val="tx1"/>
            </w14:solidFill>
          </w14:textFill>
        </w:rPr>
        <w:t>0</w:t>
      </w:r>
      <w:r>
        <w:rPr>
          <w:rFonts w:hint="eastAsia" w:ascii="仿宋_GB2312" w:hAnsi="华文宋体" w:eastAsia="仿宋_GB2312"/>
          <w:color w:val="000000" w:themeColor="text1"/>
          <w:sz w:val="28"/>
          <w:szCs w:val="28"/>
          <w:highlight w:val="none"/>
          <w14:textFill>
            <w14:solidFill>
              <w14:schemeClr w14:val="tx1"/>
            </w14:solidFill>
          </w14:textFill>
        </w:rPr>
        <w:t>.3、凡因与履行本合同有关所签订的其他一切补充协议、签证单据、物权凭证和单据、确认函等法律文件再行约定管辖及争议解决方式的，不得对抗以上条款的约定，如有违背，则该约定一律无效。</w:t>
      </w:r>
    </w:p>
    <w:p>
      <w:pPr>
        <w:rPr>
          <w:rFonts w:ascii="仿宋_GB2312" w:hAnsi="华文宋体" w:eastAsia="仿宋_GB2312"/>
          <w:b/>
          <w:bCs/>
          <w:color w:val="auto"/>
          <w:sz w:val="28"/>
          <w:szCs w:val="28"/>
        </w:rPr>
      </w:pPr>
      <w:r>
        <w:rPr>
          <w:rFonts w:hint="eastAsia" w:ascii="仿宋_GB2312" w:hAnsi="华文宋体" w:eastAsia="仿宋_GB2312"/>
          <w:b/>
          <w:bCs/>
          <w:color w:val="auto"/>
          <w:sz w:val="28"/>
          <w:szCs w:val="28"/>
        </w:rPr>
        <w:t>1</w:t>
      </w:r>
      <w:r>
        <w:rPr>
          <w:rFonts w:hint="eastAsia" w:ascii="仿宋_GB2312" w:hAnsi="华文宋体" w:eastAsia="仿宋_GB2312"/>
          <w:b/>
          <w:bCs/>
          <w:color w:val="auto"/>
          <w:sz w:val="28"/>
          <w:szCs w:val="28"/>
          <w:lang w:val="en-US" w:eastAsia="zh-CN"/>
        </w:rPr>
        <w:t>1</w:t>
      </w:r>
      <w:r>
        <w:rPr>
          <w:rFonts w:hint="eastAsia" w:ascii="仿宋_GB2312" w:hAnsi="华文宋体" w:eastAsia="仿宋_GB2312"/>
          <w:b/>
          <w:bCs/>
          <w:color w:val="auto"/>
          <w:sz w:val="28"/>
          <w:szCs w:val="28"/>
        </w:rPr>
        <w:t>、通知和送达</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1</w:t>
      </w:r>
      <w:r>
        <w:rPr>
          <w:rFonts w:hint="eastAsia" w:ascii="仿宋_GB2312" w:hAnsi="华文宋体" w:eastAsia="仿宋_GB2312"/>
          <w:sz w:val="28"/>
          <w:szCs w:val="28"/>
        </w:rPr>
        <w:t>.1、甲乙双方因履行本合同而相互发出或者提供的所有通知、文件、资料，均以本合同所列明的通讯地址（如未填写则以双方营业执照所记载住所为准）、传真或特快专递送达。</w:t>
      </w:r>
    </w:p>
    <w:p>
      <w:pPr>
        <w:rPr>
          <w:rFonts w:hint="eastAsia"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1</w:t>
      </w:r>
      <w:r>
        <w:rPr>
          <w:rFonts w:hint="eastAsia" w:ascii="仿宋_GB2312" w:hAnsi="华文宋体" w:eastAsia="仿宋_GB2312"/>
          <w:sz w:val="28"/>
          <w:szCs w:val="28"/>
        </w:rPr>
        <w:t>.2、直接送达的，对方签收之日视为送达；通过传真方式送达的，在发出传真时视为送达；以邮寄方式送达的，投邮次日视为送达。</w:t>
      </w:r>
    </w:p>
    <w:p>
      <w:pPr>
        <w:rPr>
          <w:rFonts w:ascii="仿宋_GB2312" w:hAnsi="华文宋体" w:eastAsia="仿宋_GB2312"/>
          <w:b/>
          <w:sz w:val="28"/>
          <w:szCs w:val="28"/>
        </w:rPr>
      </w:pPr>
      <w:r>
        <w:rPr>
          <w:rFonts w:hint="eastAsia" w:ascii="仿宋_GB2312" w:hAnsi="华文宋体" w:eastAsia="仿宋_GB2312"/>
          <w:b/>
          <w:sz w:val="28"/>
          <w:szCs w:val="28"/>
        </w:rPr>
        <w:t>1</w:t>
      </w:r>
      <w:r>
        <w:rPr>
          <w:rFonts w:hint="eastAsia" w:ascii="仿宋_GB2312" w:hAnsi="华文宋体" w:eastAsia="仿宋_GB2312"/>
          <w:b/>
          <w:sz w:val="28"/>
          <w:szCs w:val="28"/>
          <w:lang w:val="en-US" w:eastAsia="zh-CN"/>
        </w:rPr>
        <w:t>2</w:t>
      </w:r>
      <w:r>
        <w:rPr>
          <w:rFonts w:hint="eastAsia" w:ascii="仿宋_GB2312" w:hAnsi="华文宋体" w:eastAsia="仿宋_GB2312"/>
          <w:b/>
          <w:sz w:val="28"/>
          <w:szCs w:val="28"/>
        </w:rPr>
        <w:t>、合同生效及其他</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2</w:t>
      </w:r>
      <w:r>
        <w:rPr>
          <w:rFonts w:hint="eastAsia" w:ascii="仿宋_GB2312" w:hAnsi="华文宋体" w:eastAsia="仿宋_GB2312"/>
          <w:sz w:val="28"/>
          <w:szCs w:val="28"/>
        </w:rPr>
        <w:t>.1、如业主限定钢材生产家有增加，价格双方再协商调整。</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2</w:t>
      </w:r>
      <w:r>
        <w:rPr>
          <w:rFonts w:hint="eastAsia" w:ascii="仿宋_GB2312" w:hAnsi="华文宋体" w:eastAsia="仿宋_GB2312"/>
          <w:sz w:val="28"/>
          <w:szCs w:val="28"/>
        </w:rPr>
        <w:t>.2、</w:t>
      </w:r>
      <w:r>
        <w:rPr>
          <w:rFonts w:hint="eastAsia" w:ascii="仿宋_GB2312" w:hAnsi="华文宋体" w:eastAsia="仿宋_GB2312"/>
          <w:b/>
          <w:bCs/>
          <w:sz w:val="28"/>
          <w:szCs w:val="28"/>
        </w:rPr>
        <w:t>本合同自甲乙双方法定代表</w:t>
      </w:r>
      <w:r>
        <w:rPr>
          <w:rFonts w:hint="eastAsia" w:ascii="仿宋_GB2312" w:hAnsi="华文宋体" w:eastAsia="仿宋_GB2312"/>
          <w:b/>
          <w:bCs/>
          <w:sz w:val="28"/>
          <w:szCs w:val="28"/>
          <w:lang w:val="en-US" w:eastAsia="zh-CN"/>
        </w:rPr>
        <w:t>盖章</w:t>
      </w:r>
      <w:r>
        <w:rPr>
          <w:rFonts w:hint="eastAsia" w:ascii="仿宋_GB2312" w:hAnsi="华文宋体" w:eastAsia="仿宋_GB2312"/>
          <w:b/>
          <w:bCs/>
          <w:sz w:val="28"/>
          <w:szCs w:val="28"/>
        </w:rPr>
        <w:t>并加盖公司公章或公司合同专用章之日起生效。</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2</w:t>
      </w:r>
      <w:r>
        <w:rPr>
          <w:rFonts w:hint="eastAsia" w:ascii="仿宋_GB2312" w:hAnsi="华文宋体" w:eastAsia="仿宋_GB2312"/>
          <w:sz w:val="28"/>
          <w:szCs w:val="28"/>
        </w:rPr>
        <w:t>.3、本合同一式肆份，甲方贰份，乙方贰份，具有同等法律效力。</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2</w:t>
      </w:r>
      <w:r>
        <w:rPr>
          <w:rFonts w:hint="eastAsia" w:ascii="仿宋_GB2312" w:hAnsi="华文宋体" w:eastAsia="仿宋_GB2312"/>
          <w:sz w:val="28"/>
          <w:szCs w:val="28"/>
        </w:rPr>
        <w:t>.4、本合同附件为本合同不可分割的组成部分，与本合同具有同等的法律效力。</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2</w:t>
      </w:r>
      <w:r>
        <w:rPr>
          <w:rFonts w:hint="eastAsia" w:ascii="仿宋_GB2312" w:hAnsi="华文宋体" w:eastAsia="仿宋_GB2312"/>
          <w:sz w:val="28"/>
          <w:szCs w:val="28"/>
        </w:rPr>
        <w:t>.5、本合同未尽事宜，由双方共同协商。</w:t>
      </w:r>
    </w:p>
    <w:p>
      <w:pPr>
        <w:rPr>
          <w:rFonts w:ascii="仿宋_GB2312" w:hAnsi="华文宋体" w:eastAsia="仿宋_GB2312"/>
          <w:sz w:val="28"/>
          <w:szCs w:val="28"/>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2</w:t>
      </w:r>
      <w:r>
        <w:rPr>
          <w:rFonts w:hint="eastAsia" w:ascii="仿宋_GB2312" w:hAnsi="华文宋体" w:eastAsia="仿宋_GB2312"/>
          <w:sz w:val="28"/>
          <w:szCs w:val="28"/>
        </w:rPr>
        <w:t>.6、本合同单方擅自修改、涂改一律无效。</w:t>
      </w:r>
    </w:p>
    <w:p>
      <w:pPr>
        <w:rPr>
          <w:rFonts w:ascii="仿宋_GB2312" w:hAnsi="华文宋体" w:eastAsia="仿宋_GB2312"/>
          <w:sz w:val="28"/>
          <w:szCs w:val="28"/>
          <w:u w:val="single"/>
        </w:rPr>
      </w:pPr>
      <w:r>
        <w:rPr>
          <w:rFonts w:hint="eastAsia" w:ascii="仿宋_GB2312" w:hAnsi="华文宋体" w:eastAsia="仿宋_GB2312"/>
          <w:sz w:val="28"/>
          <w:szCs w:val="28"/>
        </w:rPr>
        <w:t>1</w:t>
      </w:r>
      <w:r>
        <w:rPr>
          <w:rFonts w:hint="eastAsia" w:ascii="仿宋_GB2312" w:hAnsi="华文宋体" w:eastAsia="仿宋_GB2312"/>
          <w:sz w:val="28"/>
          <w:szCs w:val="28"/>
          <w:lang w:val="en-US" w:eastAsia="zh-CN"/>
        </w:rPr>
        <w:t>3</w:t>
      </w:r>
      <w:r>
        <w:rPr>
          <w:rFonts w:hint="eastAsia" w:ascii="仿宋_GB2312" w:hAnsi="华文宋体" w:eastAsia="仿宋_GB2312"/>
          <w:sz w:val="28"/>
          <w:szCs w:val="28"/>
        </w:rPr>
        <w:t>、补充约定：</w:t>
      </w:r>
      <w:r>
        <w:rPr>
          <w:rFonts w:hint="eastAsia" w:ascii="仿宋_GB2312" w:hAnsi="华文宋体" w:eastAsia="仿宋_GB2312"/>
          <w:sz w:val="28"/>
          <w:szCs w:val="28"/>
          <w:u w:val="single"/>
        </w:rPr>
        <w:t xml:space="preserve">无 </w:t>
      </w:r>
    </w:p>
    <w:p>
      <w:pPr>
        <w:spacing w:line="120" w:lineRule="auto"/>
        <w:ind w:left="5880" w:hanging="5880" w:hangingChars="2100"/>
        <w:rPr>
          <w:rFonts w:hint="eastAsia" w:ascii="仿宋_GB2312" w:hAnsi="华文宋体" w:eastAsia="仿宋_GB2312"/>
          <w:sz w:val="28"/>
          <w:szCs w:val="28"/>
        </w:rPr>
      </w:pPr>
    </w:p>
    <w:p>
      <w:pPr>
        <w:spacing w:line="120" w:lineRule="auto"/>
        <w:ind w:left="5880" w:hanging="5880" w:hangingChars="2100"/>
        <w:rPr>
          <w:rFonts w:hint="eastAsia" w:ascii="仿宋_GB2312" w:hAnsi="华文宋体" w:eastAsia="仿宋_GB2312"/>
          <w:sz w:val="28"/>
          <w:szCs w:val="28"/>
        </w:rPr>
      </w:pPr>
    </w:p>
    <w:p>
      <w:pPr>
        <w:pStyle w:val="2"/>
        <w:rPr>
          <w:rFonts w:hint="eastAsia"/>
        </w:rPr>
      </w:pPr>
    </w:p>
    <w:p>
      <w:pPr>
        <w:spacing w:line="120" w:lineRule="auto"/>
        <w:ind w:left="5880" w:hanging="5880" w:hangingChars="2100"/>
        <w:rPr>
          <w:rFonts w:hint="eastAsia" w:ascii="仿宋_GB2312" w:hAnsi="华文宋体" w:eastAsia="仿宋_GB2312"/>
          <w:sz w:val="28"/>
          <w:szCs w:val="28"/>
        </w:rPr>
      </w:pPr>
    </w:p>
    <w:p>
      <w:pPr>
        <w:spacing w:line="120" w:lineRule="auto"/>
        <w:ind w:left="5880" w:hanging="5880" w:hangingChars="2100"/>
        <w:rPr>
          <w:rFonts w:ascii="仿宋_GB2312" w:hAnsi="华文宋体" w:eastAsia="仿宋_GB2312"/>
          <w:sz w:val="28"/>
          <w:szCs w:val="28"/>
        </w:rPr>
      </w:pPr>
      <w:r>
        <w:rPr>
          <w:rFonts w:hint="eastAsia" w:ascii="仿宋_GB2312" w:hAnsi="华文宋体" w:eastAsia="仿宋_GB2312"/>
          <w:sz w:val="28"/>
          <w:szCs w:val="28"/>
        </w:rPr>
        <w:t>甲方（盖章）：贵州建工云富集采有    乙方（盖章）：贵州</w:t>
      </w:r>
      <w:r>
        <w:rPr>
          <w:rFonts w:hint="eastAsia" w:ascii="仿宋_GB2312" w:hAnsi="华文宋体" w:eastAsia="仿宋_GB2312"/>
          <w:sz w:val="28"/>
          <w:szCs w:val="28"/>
          <w:lang w:eastAsia="zh-CN"/>
        </w:rPr>
        <w:t>省物资供</w:t>
      </w:r>
    </w:p>
    <w:p>
      <w:pPr>
        <w:spacing w:line="120" w:lineRule="auto"/>
        <w:ind w:left="6440" w:leftChars="800" w:hanging="4760" w:hangingChars="1700"/>
        <w:rPr>
          <w:rFonts w:hint="eastAsia" w:ascii="仿宋_GB2312" w:hAnsi="华文宋体" w:eastAsia="仿宋_GB2312"/>
          <w:sz w:val="28"/>
          <w:szCs w:val="28"/>
        </w:rPr>
      </w:pPr>
      <w:r>
        <w:rPr>
          <w:rFonts w:hint="eastAsia" w:ascii="仿宋_GB2312" w:hAnsi="华文宋体" w:eastAsia="仿宋_GB2312"/>
          <w:sz w:val="28"/>
          <w:szCs w:val="28"/>
        </w:rPr>
        <w:t xml:space="preserve">限责任公司                       </w:t>
      </w:r>
      <w:r>
        <w:rPr>
          <w:rFonts w:hint="eastAsia" w:ascii="仿宋_GB2312" w:hAnsi="华文宋体" w:eastAsia="仿宋_GB2312"/>
          <w:sz w:val="28"/>
          <w:szCs w:val="28"/>
          <w:lang w:eastAsia="zh-CN"/>
        </w:rPr>
        <w:t>应贸易</w:t>
      </w:r>
      <w:r>
        <w:rPr>
          <w:rFonts w:hint="eastAsia" w:ascii="仿宋_GB2312" w:hAnsi="华文宋体" w:eastAsia="仿宋_GB2312"/>
          <w:sz w:val="28"/>
          <w:szCs w:val="28"/>
        </w:rPr>
        <w:t>有限责任</w:t>
      </w:r>
    </w:p>
    <w:p>
      <w:pPr>
        <w:spacing w:line="120" w:lineRule="auto"/>
        <w:ind w:firstLine="6160" w:firstLineChars="2200"/>
        <w:rPr>
          <w:rFonts w:ascii="仿宋_GB2312" w:hAnsi="华文宋体" w:eastAsia="仿宋_GB2312"/>
          <w:sz w:val="28"/>
          <w:szCs w:val="28"/>
        </w:rPr>
      </w:pPr>
      <w:r>
        <w:rPr>
          <w:rFonts w:hint="eastAsia" w:ascii="仿宋_GB2312" w:hAnsi="华文宋体" w:eastAsia="仿宋_GB2312"/>
          <w:sz w:val="28"/>
          <w:szCs w:val="28"/>
        </w:rPr>
        <w:t xml:space="preserve">公司                                    </w:t>
      </w:r>
    </w:p>
    <w:p>
      <w:pPr>
        <w:spacing w:line="120" w:lineRule="auto"/>
        <w:ind w:left="5600" w:hanging="5600" w:hangingChars="2000"/>
        <w:rPr>
          <w:rFonts w:ascii="仿宋_GB2312" w:hAnsi="华文宋体" w:eastAsia="仿宋_GB2312"/>
          <w:sz w:val="28"/>
          <w:szCs w:val="28"/>
        </w:rPr>
      </w:pPr>
      <w:r>
        <w:rPr>
          <w:rFonts w:hint="eastAsia" w:ascii="仿宋_GB2312" w:hAnsi="华文宋体" w:eastAsia="仿宋_GB2312"/>
          <w:sz w:val="28"/>
          <w:szCs w:val="28"/>
        </w:rPr>
        <w:t>住所：                           住所：</w:t>
      </w:r>
    </w:p>
    <w:p>
      <w:pPr>
        <w:spacing w:line="120" w:lineRule="auto"/>
        <w:rPr>
          <w:rFonts w:ascii="仿宋_GB2312" w:hAnsi="华文宋体" w:eastAsia="仿宋_GB2312"/>
          <w:sz w:val="28"/>
          <w:szCs w:val="28"/>
        </w:rPr>
      </w:pPr>
      <w:r>
        <w:rPr>
          <w:rFonts w:hint="eastAsia" w:ascii="仿宋_GB2312" w:hAnsi="华文宋体" w:eastAsia="仿宋_GB2312"/>
          <w:sz w:val="28"/>
          <w:szCs w:val="28"/>
        </w:rPr>
        <w:t>法定代表人：廖卫红               法定代表人：</w:t>
      </w:r>
      <w:r>
        <w:rPr>
          <w:rFonts w:ascii="仿宋_GB2312" w:hAnsi="华文宋体" w:eastAsia="仿宋_GB2312"/>
          <w:sz w:val="28"/>
          <w:szCs w:val="28"/>
        </w:rPr>
        <w:t xml:space="preserve"> </w:t>
      </w:r>
      <w:r>
        <w:rPr>
          <w:rFonts w:hint="eastAsia" w:ascii="仿宋_GB2312" w:hAnsi="华文宋体" w:eastAsia="仿宋_GB2312"/>
          <w:sz w:val="28"/>
          <w:szCs w:val="28"/>
        </w:rPr>
        <w:t xml:space="preserve">       </w:t>
      </w:r>
    </w:p>
    <w:p>
      <w:pPr>
        <w:spacing w:line="120" w:lineRule="auto"/>
        <w:ind w:left="6160" w:hanging="6160" w:hangingChars="2200"/>
        <w:rPr>
          <w:rFonts w:ascii="仿宋_GB2312" w:hAnsi="华文宋体" w:eastAsia="仿宋_GB2312"/>
          <w:sz w:val="28"/>
          <w:szCs w:val="28"/>
        </w:rPr>
      </w:pPr>
      <w:r>
        <w:rPr>
          <w:rFonts w:hint="eastAsia" w:ascii="仿宋_GB2312" w:hAnsi="华文宋体" w:eastAsia="仿宋_GB2312"/>
          <w:sz w:val="28"/>
          <w:szCs w:val="28"/>
        </w:rPr>
        <w:t xml:space="preserve">开户银行： </w:t>
      </w:r>
      <w:r>
        <w:rPr>
          <w:rFonts w:ascii="仿宋_GB2312" w:hAnsi="华文宋体" w:eastAsia="仿宋_GB2312"/>
          <w:sz w:val="28"/>
          <w:szCs w:val="28"/>
        </w:rPr>
        <w:t xml:space="preserve">    </w:t>
      </w:r>
      <w:r>
        <w:rPr>
          <w:rFonts w:hint="eastAsia" w:ascii="仿宋_GB2312" w:hAnsi="华文宋体" w:eastAsia="仿宋_GB2312"/>
          <w:sz w:val="28"/>
          <w:szCs w:val="28"/>
        </w:rPr>
        <w:t xml:space="preserve">                 </w:t>
      </w:r>
      <w:r>
        <w:rPr>
          <w:rFonts w:ascii="仿宋_GB2312" w:hAnsi="华文宋体" w:eastAsia="仿宋_GB2312"/>
          <w:sz w:val="28"/>
          <w:szCs w:val="28"/>
        </w:rPr>
        <w:t xml:space="preserve"> </w:t>
      </w:r>
      <w:r>
        <w:rPr>
          <w:rFonts w:hint="eastAsia" w:ascii="仿宋_GB2312" w:hAnsi="华文宋体" w:eastAsia="仿宋_GB2312"/>
          <w:sz w:val="28"/>
          <w:szCs w:val="28"/>
        </w:rPr>
        <w:t xml:space="preserve">开户银行：                                                              </w:t>
      </w:r>
    </w:p>
    <w:p>
      <w:pPr>
        <w:spacing w:line="120" w:lineRule="auto"/>
        <w:rPr>
          <w:rFonts w:ascii="仿宋_GB2312" w:hAnsi="华文宋体" w:eastAsia="仿宋_GB2312"/>
          <w:sz w:val="28"/>
          <w:szCs w:val="28"/>
        </w:rPr>
      </w:pPr>
      <w:r>
        <w:rPr>
          <w:rFonts w:hint="eastAsia" w:ascii="仿宋_GB2312" w:hAnsi="华文宋体" w:eastAsia="仿宋_GB2312"/>
          <w:sz w:val="28"/>
          <w:szCs w:val="28"/>
        </w:rPr>
        <w:t xml:space="preserve">账号： </w:t>
      </w:r>
      <w:r>
        <w:rPr>
          <w:rFonts w:ascii="仿宋_GB2312" w:hAnsi="华文宋体" w:eastAsia="仿宋_GB2312"/>
          <w:sz w:val="28"/>
          <w:szCs w:val="28"/>
        </w:rPr>
        <w:t xml:space="preserve">    </w:t>
      </w:r>
      <w:r>
        <w:rPr>
          <w:rFonts w:hint="eastAsia" w:ascii="仿宋_GB2312" w:hAnsi="华文宋体" w:eastAsia="仿宋_GB2312"/>
          <w:sz w:val="28"/>
          <w:szCs w:val="28"/>
        </w:rPr>
        <w:t xml:space="preserve">                      账号：</w:t>
      </w:r>
    </w:p>
    <w:p>
      <w:pPr>
        <w:spacing w:line="120" w:lineRule="auto"/>
        <w:rPr>
          <w:rFonts w:ascii="仿宋_GB2312" w:hAnsi="华文宋体" w:eastAsia="仿宋_GB2312"/>
          <w:sz w:val="28"/>
          <w:szCs w:val="28"/>
        </w:rPr>
      </w:pPr>
      <w:r>
        <w:rPr>
          <w:rFonts w:hint="eastAsia" w:ascii="仿宋_GB2312" w:hAnsi="华文宋体" w:eastAsia="仿宋_GB2312"/>
          <w:sz w:val="28"/>
          <w:szCs w:val="28"/>
        </w:rPr>
        <w:t>通讯地址：                       通讯地址：</w:t>
      </w:r>
    </w:p>
    <w:p>
      <w:pPr>
        <w:spacing w:line="120" w:lineRule="auto"/>
        <w:rPr>
          <w:rFonts w:ascii="仿宋_GB2312" w:hAnsi="华文宋体" w:eastAsia="仿宋_GB2312"/>
          <w:sz w:val="28"/>
          <w:szCs w:val="28"/>
        </w:rPr>
      </w:pPr>
      <w:r>
        <w:rPr>
          <w:rFonts w:hint="eastAsia" w:ascii="仿宋_GB2312" w:hAnsi="华文宋体" w:eastAsia="仿宋_GB2312"/>
          <w:sz w:val="28"/>
          <w:szCs w:val="28"/>
        </w:rPr>
        <w:t>电话：                           电话：</w:t>
      </w:r>
    </w:p>
    <w:p>
      <w:pPr>
        <w:spacing w:line="120" w:lineRule="auto"/>
        <w:rPr>
          <w:rFonts w:ascii="仿宋_GB2312" w:hAnsi="华文宋体" w:eastAsia="仿宋_GB2312"/>
          <w:sz w:val="28"/>
          <w:szCs w:val="28"/>
        </w:rPr>
      </w:pPr>
      <w:r>
        <w:rPr>
          <w:rFonts w:hint="eastAsia" w:ascii="仿宋_GB2312" w:hAnsi="华文宋体" w:eastAsia="仿宋_GB2312"/>
          <w:sz w:val="28"/>
          <w:szCs w:val="28"/>
        </w:rPr>
        <w:t>传真：                           传真：</w:t>
      </w:r>
    </w:p>
    <w:p>
      <w:pPr>
        <w:spacing w:line="120" w:lineRule="auto"/>
        <w:jc w:val="center"/>
        <w:rPr>
          <w:rFonts w:hint="eastAsia" w:ascii="仿宋_GB2312" w:hAnsi="华文宋体" w:eastAsia="仿宋_GB2312"/>
          <w:sz w:val="28"/>
          <w:szCs w:val="28"/>
        </w:rPr>
      </w:pPr>
      <w:r>
        <w:rPr>
          <w:rFonts w:hint="eastAsia" w:ascii="仿宋_GB2312" w:hAnsi="华文宋体" w:eastAsia="仿宋_GB2312"/>
          <w:sz w:val="28"/>
          <w:szCs w:val="28"/>
        </w:rPr>
        <w:t>合同签订时间：</w:t>
      </w:r>
      <w:r>
        <w:rPr>
          <w:rFonts w:hint="eastAsia" w:ascii="仿宋_GB2312" w:hAnsi="华文宋体" w:eastAsia="仿宋_GB2312"/>
          <w:sz w:val="28"/>
          <w:szCs w:val="28"/>
          <w:lang w:val="en-US" w:eastAsia="zh-CN"/>
        </w:rPr>
        <w:t xml:space="preserve">   </w:t>
      </w:r>
      <w:r>
        <w:rPr>
          <w:rFonts w:hint="eastAsia" w:ascii="仿宋_GB2312" w:hAnsi="华文宋体" w:eastAsia="仿宋_GB2312"/>
          <w:sz w:val="28"/>
          <w:szCs w:val="28"/>
        </w:rPr>
        <w:t>年</w:t>
      </w:r>
      <w:r>
        <w:rPr>
          <w:rFonts w:hint="eastAsia" w:ascii="仿宋_GB2312" w:hAnsi="华文宋体" w:eastAsia="仿宋_GB2312"/>
          <w:sz w:val="28"/>
          <w:szCs w:val="28"/>
          <w:lang w:val="en-US" w:eastAsia="zh-CN"/>
        </w:rPr>
        <w:t xml:space="preserve">  </w:t>
      </w:r>
      <w:r>
        <w:rPr>
          <w:rFonts w:hint="eastAsia" w:ascii="仿宋_GB2312" w:hAnsi="华文宋体" w:eastAsia="仿宋_GB2312"/>
          <w:sz w:val="28"/>
          <w:szCs w:val="28"/>
        </w:rPr>
        <w:t>月</w:t>
      </w:r>
      <w:r>
        <w:rPr>
          <w:rFonts w:hint="eastAsia" w:ascii="仿宋_GB2312" w:hAnsi="华文宋体" w:eastAsia="仿宋_GB2312"/>
          <w:sz w:val="28"/>
          <w:szCs w:val="28"/>
          <w:lang w:val="en-US" w:eastAsia="zh-CN"/>
        </w:rPr>
        <w:t xml:space="preserve">  </w:t>
      </w:r>
      <w:r>
        <w:rPr>
          <w:rFonts w:hint="eastAsia" w:ascii="仿宋_GB2312" w:hAnsi="华文宋体" w:eastAsia="仿宋_GB2312"/>
          <w:sz w:val="28"/>
          <w:szCs w:val="28"/>
        </w:rPr>
        <w:t>日</w:t>
      </w:r>
    </w:p>
    <w:p>
      <w:pPr>
        <w:spacing w:line="120" w:lineRule="auto"/>
        <w:jc w:val="center"/>
        <w:rPr>
          <w:rFonts w:hint="eastAsia" w:ascii="仿宋_GB2312" w:hAnsi="华文宋体" w:eastAsia="仿宋_GB2312"/>
          <w:sz w:val="28"/>
          <w:szCs w:val="28"/>
        </w:rPr>
      </w:pPr>
    </w:p>
    <w:p>
      <w:pPr>
        <w:spacing w:line="120" w:lineRule="auto"/>
        <w:jc w:val="center"/>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pStyle w:val="2"/>
        <w:rPr>
          <w:rFonts w:hint="eastAsia" w:ascii="仿宋_GB2312" w:hAnsi="华文宋体" w:eastAsia="仿宋_GB2312"/>
          <w:sz w:val="28"/>
          <w:szCs w:val="28"/>
        </w:rPr>
      </w:pPr>
    </w:p>
    <w:p>
      <w:pPr>
        <w:spacing w:line="560" w:lineRule="exact"/>
        <w:rPr>
          <w:rFonts w:ascii="仿宋_GB2312" w:hAnsi="华文宋体" w:eastAsia="仿宋_GB2312"/>
          <w:sz w:val="28"/>
          <w:szCs w:val="28"/>
          <w:highlight w:val="none"/>
        </w:rPr>
      </w:pPr>
      <w:r>
        <w:rPr>
          <w:rFonts w:ascii="仿宋_GB2312" w:hAnsi="华文宋体" w:eastAsia="仿宋_GB2312"/>
          <w:sz w:val="28"/>
          <w:szCs w:val="28"/>
          <w:highlight w:val="none"/>
        </w:rPr>
        <w:t>附件</w:t>
      </w:r>
      <w:r>
        <w:rPr>
          <w:rFonts w:hint="eastAsia" w:ascii="仿宋_GB2312" w:hAnsi="华文宋体" w:eastAsia="仿宋_GB2312"/>
          <w:sz w:val="28"/>
          <w:szCs w:val="28"/>
          <w:highlight w:val="none"/>
        </w:rPr>
        <w:t>1</w:t>
      </w:r>
    </w:p>
    <w:p>
      <w:pPr>
        <w:jc w:val="center"/>
        <w:rPr>
          <w:rFonts w:ascii="宋体" w:hAnsi="宋体" w:cs="宋体"/>
          <w:b/>
          <w:sz w:val="36"/>
          <w:szCs w:val="36"/>
          <w:highlight w:val="none"/>
        </w:rPr>
      </w:pPr>
      <w:r>
        <w:rPr>
          <w:rFonts w:hint="eastAsia" w:ascii="宋体" w:hAnsi="宋体" w:cs="宋体"/>
          <w:b/>
          <w:sz w:val="36"/>
          <w:szCs w:val="36"/>
          <w:highlight w:val="none"/>
        </w:rPr>
        <w:t>项目部材料供货申请单</w:t>
      </w:r>
    </w:p>
    <w:p>
      <w:pPr>
        <w:rPr>
          <w:rFonts w:ascii="宋体" w:hAnsi="宋体" w:cs="宋体"/>
          <w:szCs w:val="21"/>
          <w:highlight w:val="none"/>
          <w:u w:val="single"/>
        </w:rPr>
      </w:pPr>
      <w:r>
        <w:rPr>
          <w:rFonts w:hint="eastAsia" w:ascii="宋体" w:hAnsi="宋体" w:cs="宋体"/>
          <w:szCs w:val="21"/>
          <w:highlight w:val="none"/>
        </w:rPr>
        <w:t>申请时间：</w:t>
      </w:r>
      <w:r>
        <w:rPr>
          <w:rFonts w:hint="eastAsia" w:ascii="宋体" w:hAnsi="宋体" w:cs="宋体"/>
          <w:szCs w:val="21"/>
          <w:highlight w:val="none"/>
          <w:u w:val="single"/>
        </w:rPr>
        <w:t xml:space="preserve">                  </w:t>
      </w:r>
    </w:p>
    <w:p>
      <w:pPr>
        <w:rPr>
          <w:rFonts w:ascii="宋体" w:hAnsi="宋体" w:cs="宋体"/>
          <w:szCs w:val="21"/>
          <w:highlight w:val="none"/>
        </w:rPr>
      </w:pPr>
      <w:r>
        <w:rPr>
          <w:rFonts w:hint="eastAsia" w:ascii="宋体" w:hAnsi="宋体" w:cs="宋体"/>
          <w:szCs w:val="21"/>
          <w:highlight w:val="none"/>
        </w:rPr>
        <w:t>填制单位：</w:t>
      </w:r>
      <w:r>
        <w:rPr>
          <w:rFonts w:hint="eastAsia" w:ascii="宋体" w:hAnsi="宋体" w:cs="宋体"/>
          <w:szCs w:val="21"/>
          <w:highlight w:val="none"/>
          <w:u w:val="single"/>
        </w:rPr>
        <w:t xml:space="preserve">                            </w:t>
      </w:r>
      <w:r>
        <w:rPr>
          <w:rFonts w:hint="eastAsia" w:ascii="宋体" w:hAnsi="宋体" w:cs="宋体"/>
          <w:szCs w:val="21"/>
          <w:highlight w:val="none"/>
        </w:rPr>
        <w:t>项目部（□钢材□商砼□水泥）主材供货计划</w:t>
      </w:r>
    </w:p>
    <w:tbl>
      <w:tblPr>
        <w:tblStyle w:val="23"/>
        <w:tblW w:w="9675" w:type="dxa"/>
        <w:jc w:val="center"/>
        <w:shd w:val="clear" w:color="auto" w:fill="FFFFFF"/>
        <w:tblLayout w:type="fixed"/>
        <w:tblCellMar>
          <w:top w:w="0" w:type="dxa"/>
          <w:left w:w="0" w:type="dxa"/>
          <w:bottom w:w="0" w:type="dxa"/>
          <w:right w:w="0" w:type="dxa"/>
        </w:tblCellMar>
      </w:tblPr>
      <w:tblGrid>
        <w:gridCol w:w="1230"/>
        <w:gridCol w:w="1180"/>
        <w:gridCol w:w="1167"/>
        <w:gridCol w:w="1180"/>
        <w:gridCol w:w="1167"/>
        <w:gridCol w:w="1413"/>
        <w:gridCol w:w="1413"/>
        <w:gridCol w:w="925"/>
      </w:tblGrid>
      <w:tr>
        <w:tblPrEx>
          <w:tblCellMar>
            <w:top w:w="0" w:type="dxa"/>
            <w:left w:w="0" w:type="dxa"/>
            <w:bottom w:w="0" w:type="dxa"/>
            <w:right w:w="0" w:type="dxa"/>
          </w:tblCellMar>
        </w:tblPrEx>
        <w:trPr>
          <w:trHeight w:val="779" w:hRule="atLeast"/>
          <w:jc w:val="center"/>
        </w:trPr>
        <w:tc>
          <w:tcPr>
            <w:tcW w:w="1230" w:type="dxa"/>
            <w:tcBorders>
              <w:top w:val="single" w:color="auto" w:sz="8" w:space="0"/>
              <w:left w:val="single" w:color="auto" w:sz="8" w:space="0"/>
              <w:bottom w:val="single" w:color="auto" w:sz="4" w:space="0"/>
              <w:right w:val="single" w:color="auto" w:sz="4" w:space="0"/>
            </w:tcBorders>
            <w:shd w:val="clear" w:color="auto" w:fill="FFFFFF"/>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4694" w:type="dxa"/>
            <w:gridSpan w:val="4"/>
            <w:tcBorders>
              <w:top w:val="single" w:color="auto" w:sz="8" w:space="0"/>
              <w:left w:val="single" w:color="auto" w:sz="4" w:space="0"/>
              <w:bottom w:val="single" w:color="auto" w:sz="4" w:space="0"/>
              <w:right w:val="single" w:color="auto" w:sz="8" w:space="0"/>
            </w:tcBorders>
            <w:shd w:val="clear" w:color="auto" w:fill="FFFFFF"/>
            <w:vAlign w:val="center"/>
          </w:tcPr>
          <w:p>
            <w:pPr>
              <w:rPr>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ascii="宋体" w:hAnsi="宋体" w:cs="宋体"/>
                <w:szCs w:val="21"/>
                <w:highlight w:val="none"/>
              </w:rPr>
            </w:pPr>
            <w:r>
              <w:rPr>
                <w:rFonts w:hint="eastAsia" w:ascii="宋体" w:hAnsi="宋体" w:cs="宋体"/>
                <w:szCs w:val="21"/>
                <w:highlight w:val="none"/>
              </w:rPr>
              <w:t>申请到货时间</w:t>
            </w:r>
          </w:p>
        </w:tc>
        <w:tc>
          <w:tcPr>
            <w:tcW w:w="233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shd w:val="clear" w:color="auto" w:fill="FFFFFF"/>
          <w:tblCellMar>
            <w:top w:w="0" w:type="dxa"/>
            <w:left w:w="0" w:type="dxa"/>
            <w:bottom w:w="0" w:type="dxa"/>
            <w:right w:w="0" w:type="dxa"/>
          </w:tblCellMar>
        </w:tblPrEx>
        <w:trPr>
          <w:trHeight w:val="721" w:hRule="atLeast"/>
          <w:jc w:val="center"/>
        </w:trPr>
        <w:tc>
          <w:tcPr>
            <w:tcW w:w="1230" w:type="dxa"/>
            <w:tcBorders>
              <w:top w:val="single" w:color="auto" w:sz="4" w:space="0"/>
              <w:left w:val="single" w:color="auto" w:sz="8" w:space="0"/>
              <w:bottom w:val="single" w:color="auto" w:sz="8" w:space="0"/>
              <w:right w:val="single" w:color="auto" w:sz="4" w:space="0"/>
            </w:tcBorders>
            <w:shd w:val="clear" w:color="auto" w:fill="FFFFFF"/>
            <w:vAlign w:val="center"/>
          </w:tcPr>
          <w:p>
            <w:pPr>
              <w:jc w:val="center"/>
              <w:rPr>
                <w:rFonts w:ascii="宋体" w:hAnsi="宋体" w:cs="宋体"/>
                <w:szCs w:val="21"/>
                <w:highlight w:val="none"/>
              </w:rPr>
            </w:pPr>
            <w:r>
              <w:rPr>
                <w:rFonts w:hint="eastAsia" w:ascii="宋体" w:hAnsi="宋体" w:cs="宋体"/>
                <w:szCs w:val="21"/>
                <w:highlight w:val="none"/>
              </w:rPr>
              <w:t>收货人及联系方式</w:t>
            </w:r>
          </w:p>
        </w:tc>
        <w:tc>
          <w:tcPr>
            <w:tcW w:w="4694"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ascii="宋体" w:hAnsi="宋体" w:cs="宋体"/>
                <w:szCs w:val="21"/>
                <w:highlight w:val="none"/>
              </w:rPr>
            </w:pPr>
            <w:r>
              <w:rPr>
                <w:rFonts w:hint="eastAsia" w:ascii="宋体" w:hAnsi="宋体" w:cs="宋体"/>
                <w:szCs w:val="21"/>
                <w:highlight w:val="none"/>
              </w:rPr>
              <w:t>申请到货地点</w:t>
            </w:r>
          </w:p>
        </w:tc>
        <w:tc>
          <w:tcPr>
            <w:tcW w:w="233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shd w:val="clear" w:color="auto" w:fill="FFFFFF"/>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材料名称</w:t>
            </w: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材料编号</w:t>
            </w: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生产厂家</w:t>
            </w: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规格型号</w:t>
            </w: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计量单位</w:t>
            </w: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需用数量</w:t>
            </w: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备注</w:t>
            </w:r>
          </w:p>
        </w:tc>
      </w:tr>
      <w:tr>
        <w:tblPrEx>
          <w:shd w:val="clear" w:color="auto" w:fill="FFFFFF"/>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12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14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c>
          <w:tcPr>
            <w:tcW w:w="9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Cs w:val="21"/>
                <w:highlight w:val="none"/>
              </w:rPr>
            </w:pPr>
          </w:p>
        </w:tc>
      </w:tr>
      <w:tr>
        <w:tblPrEx>
          <w:tblCellMar>
            <w:top w:w="0" w:type="dxa"/>
            <w:left w:w="0" w:type="dxa"/>
            <w:bottom w:w="0" w:type="dxa"/>
            <w:right w:w="0" w:type="dxa"/>
          </w:tblCellMar>
        </w:tblPrEx>
        <w:trPr>
          <w:trHeight w:val="431" w:hRule="atLeast"/>
          <w:jc w:val="center"/>
        </w:trPr>
        <w:tc>
          <w:tcPr>
            <w:tcW w:w="9675" w:type="dxa"/>
            <w:gridSpan w:val="8"/>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ascii="宋体" w:hAnsi="宋体" w:cs="宋体"/>
                <w:szCs w:val="21"/>
                <w:highlight w:val="none"/>
              </w:rPr>
            </w:pPr>
            <w:r>
              <w:rPr>
                <w:rFonts w:hint="eastAsia" w:ascii="宋体" w:hAnsi="宋体" w:cs="宋体"/>
                <w:kern w:val="0"/>
                <w:szCs w:val="21"/>
                <w:highlight w:val="none"/>
              </w:rPr>
              <w:t>备注：请需用项目提前五天提供供货申请单。</w:t>
            </w:r>
          </w:p>
        </w:tc>
      </w:tr>
    </w:tbl>
    <w:p>
      <w:pPr>
        <w:jc w:val="left"/>
        <w:rPr>
          <w:rFonts w:ascii="宋体" w:hAnsi="宋体" w:cs="宋体"/>
          <w:szCs w:val="21"/>
          <w:highlight w:val="none"/>
        </w:rPr>
      </w:pPr>
      <w:r>
        <w:rPr>
          <w:rFonts w:hint="eastAsia" w:ascii="宋体" w:hAnsi="宋体" w:cs="宋体"/>
          <w:szCs w:val="21"/>
          <w:highlight w:val="none"/>
        </w:rPr>
        <w:t xml:space="preserve">  项目负责人（签字）：                       贵州建工云富集采有限责任公司（盖章）：</w:t>
      </w:r>
    </w:p>
    <w:p>
      <w:pPr>
        <w:jc w:val="left"/>
        <w:rPr>
          <w:highlight w:val="none"/>
        </w:rPr>
      </w:pPr>
      <w:r>
        <w:rPr>
          <w:rFonts w:hint="eastAsia" w:ascii="宋体" w:hAnsi="宋体" w:cs="宋体"/>
          <w:szCs w:val="21"/>
          <w:highlight w:val="none"/>
        </w:rPr>
        <w:t xml:space="preserve">  加盖项目章或总包章：              </w:t>
      </w:r>
    </w:p>
    <w:p>
      <w:pPr>
        <w:pStyle w:val="2"/>
        <w:ind w:left="63" w:right="63"/>
        <w:rPr>
          <w:highlight w:val="none"/>
        </w:rPr>
      </w:pPr>
      <w:r>
        <w:rPr>
          <w:highlight w:val="none"/>
        </w:rPr>
        <w:br w:type="page"/>
      </w:r>
    </w:p>
    <w:p>
      <w:pPr>
        <w:spacing w:line="560" w:lineRule="exact"/>
        <w:rPr>
          <w:rFonts w:ascii="仿宋_GB2312" w:hAnsi="华文宋体" w:eastAsia="仿宋_GB2312"/>
          <w:sz w:val="28"/>
          <w:szCs w:val="28"/>
          <w:highlight w:val="none"/>
        </w:rPr>
      </w:pPr>
      <w:r>
        <w:rPr>
          <w:rFonts w:hint="eastAsia" w:ascii="仿宋_GB2312" w:hAnsi="华文宋体" w:eastAsia="仿宋_GB2312"/>
          <w:sz w:val="28"/>
          <w:szCs w:val="28"/>
          <w:highlight w:val="none"/>
        </w:rPr>
        <w:t>附件2</w:t>
      </w:r>
    </w:p>
    <w:p>
      <w:pPr>
        <w:jc w:val="center"/>
        <w:rPr>
          <w:rFonts w:ascii="宋体" w:hAnsi="宋体" w:cs="宋体"/>
          <w:b/>
          <w:sz w:val="36"/>
          <w:szCs w:val="36"/>
          <w:highlight w:val="none"/>
        </w:rPr>
      </w:pPr>
      <w:r>
        <w:rPr>
          <w:rFonts w:hint="eastAsia" w:ascii="宋体" w:hAnsi="宋体" w:cs="宋体"/>
          <w:b/>
          <w:sz w:val="36"/>
          <w:szCs w:val="36"/>
          <w:highlight w:val="none"/>
        </w:rPr>
        <w:t>材料运杂费、吊装费收取标准</w:t>
      </w:r>
    </w:p>
    <w:p>
      <w:pPr>
        <w:jc w:val="left"/>
        <w:rPr>
          <w:rFonts w:ascii="宋体" w:hAnsi="宋体" w:cs="宋体"/>
          <w:b/>
          <w:sz w:val="36"/>
          <w:szCs w:val="36"/>
          <w:highlight w:val="none"/>
        </w:rPr>
      </w:pPr>
      <w:r>
        <w:rPr>
          <w:rFonts w:hint="eastAsia" w:ascii="宋体" w:hAnsi="宋体" w:cs="宋体"/>
          <w:szCs w:val="21"/>
          <w:highlight w:val="none"/>
        </w:rPr>
        <w:t>填制时间：202  年  月  日</w:t>
      </w:r>
    </w:p>
    <w:p>
      <w:pPr>
        <w:rPr>
          <w:rFonts w:ascii="宋体" w:hAnsi="宋体" w:cs="宋体"/>
          <w:szCs w:val="21"/>
          <w:highlight w:val="none"/>
        </w:rPr>
      </w:pPr>
    </w:p>
    <w:p>
      <w:pPr>
        <w:rPr>
          <w:rFonts w:ascii="宋体" w:hAnsi="宋体" w:cs="宋体"/>
          <w:b/>
          <w:sz w:val="36"/>
          <w:szCs w:val="36"/>
          <w:highlight w:val="none"/>
        </w:rPr>
      </w:pPr>
      <w:r>
        <w:rPr>
          <w:rFonts w:hint="eastAsia" w:ascii="宋体" w:hAnsi="宋体" w:cs="宋体"/>
          <w:szCs w:val="21"/>
          <w:highlight w:val="none"/>
        </w:rPr>
        <w:t>填制单位：</w:t>
      </w:r>
      <w:r>
        <w:rPr>
          <w:rFonts w:hint="eastAsia" w:ascii="宋体" w:hAnsi="宋体" w:cs="宋体"/>
          <w:szCs w:val="21"/>
          <w:highlight w:val="none"/>
          <w:u w:val="single"/>
        </w:rPr>
        <w:t xml:space="preserve"> 贵州建工云富集采有限责任公司</w:t>
      </w:r>
      <w:r>
        <w:rPr>
          <w:rFonts w:hint="eastAsia" w:ascii="宋体" w:hAnsi="宋体" w:cs="宋体"/>
          <w:szCs w:val="21"/>
          <w:highlight w:val="none"/>
        </w:rPr>
        <w:t>（</w:t>
      </w:r>
      <w:r>
        <w:rPr>
          <w:rFonts w:hint="eastAsia" w:ascii="宋体" w:hAnsi="宋体" w:cs="宋体"/>
          <w:szCs w:val="21"/>
          <w:highlight w:val="none"/>
        </w:rPr>
        <w:sym w:font="Wingdings 2" w:char="0052"/>
      </w:r>
      <w:r>
        <w:rPr>
          <w:rFonts w:hint="eastAsia" w:ascii="宋体" w:hAnsi="宋体" w:cs="宋体"/>
          <w:szCs w:val="21"/>
          <w:highlight w:val="none"/>
        </w:rPr>
        <w:t xml:space="preserve">钢材□商砼□水泥）       </w:t>
      </w:r>
    </w:p>
    <w:tbl>
      <w:tblPr>
        <w:tblStyle w:val="24"/>
        <w:tblpPr w:leftFromText="180" w:rightFromText="180" w:vertAnchor="text" w:horzAnchor="page" w:tblpX="1906" w:tblpY="234"/>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6" w:type="dxa"/>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7354" w:type="dxa"/>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6" w:type="dxa"/>
            <w:vAlign w:val="center"/>
          </w:tcPr>
          <w:p>
            <w:pPr>
              <w:jc w:val="center"/>
              <w:rPr>
                <w:rFonts w:ascii="宋体" w:hAnsi="宋体" w:cs="宋体"/>
                <w:szCs w:val="21"/>
                <w:highlight w:val="none"/>
              </w:rPr>
            </w:pPr>
            <w:r>
              <w:rPr>
                <w:rFonts w:hint="eastAsia" w:ascii="宋体" w:hAnsi="宋体" w:cs="宋体"/>
                <w:szCs w:val="21"/>
                <w:highlight w:val="none"/>
              </w:rPr>
              <w:t>运输起点</w:t>
            </w:r>
          </w:p>
        </w:tc>
        <w:tc>
          <w:tcPr>
            <w:tcW w:w="7354" w:type="dxa"/>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6" w:type="dxa"/>
            <w:vAlign w:val="center"/>
          </w:tcPr>
          <w:p>
            <w:pPr>
              <w:jc w:val="center"/>
              <w:rPr>
                <w:rFonts w:ascii="宋体" w:hAnsi="宋体" w:cs="宋体"/>
                <w:szCs w:val="21"/>
                <w:highlight w:val="none"/>
              </w:rPr>
            </w:pPr>
            <w:r>
              <w:rPr>
                <w:rFonts w:hint="eastAsia" w:ascii="宋体" w:hAnsi="宋体" w:cs="宋体"/>
                <w:szCs w:val="21"/>
                <w:highlight w:val="none"/>
              </w:rPr>
              <w:t>运输终点</w:t>
            </w:r>
          </w:p>
        </w:tc>
        <w:tc>
          <w:tcPr>
            <w:tcW w:w="7354" w:type="dxa"/>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6" w:type="dxa"/>
            <w:vAlign w:val="center"/>
          </w:tcPr>
          <w:p>
            <w:pPr>
              <w:jc w:val="center"/>
              <w:rPr>
                <w:rFonts w:ascii="宋体" w:hAnsi="宋体" w:cs="宋体"/>
                <w:szCs w:val="21"/>
                <w:highlight w:val="none"/>
              </w:rPr>
            </w:pPr>
            <w:r>
              <w:rPr>
                <w:rFonts w:hint="eastAsia" w:ascii="宋体" w:hAnsi="宋体" w:cs="宋体"/>
                <w:szCs w:val="21"/>
                <w:highlight w:val="none"/>
              </w:rPr>
              <w:t>单价</w:t>
            </w:r>
          </w:p>
        </w:tc>
        <w:tc>
          <w:tcPr>
            <w:tcW w:w="7354" w:type="dxa"/>
          </w:tcPr>
          <w:p>
            <w:pPr>
              <w:jc w:val="left"/>
              <w:rPr>
                <w:rFonts w:ascii="宋体" w:hAnsi="宋体" w:cs="宋体"/>
                <w:szCs w:val="21"/>
                <w:highlight w:val="none"/>
              </w:rPr>
            </w:pPr>
            <w:r>
              <w:rPr>
                <w:rFonts w:hint="eastAsia" w:ascii="宋体" w:hAnsi="宋体" w:cs="宋体"/>
                <w:szCs w:val="21"/>
                <w:highlight w:val="none"/>
              </w:rPr>
              <w:t>运吊费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1306" w:type="dxa"/>
            <w:vAlign w:val="center"/>
          </w:tcPr>
          <w:p>
            <w:pPr>
              <w:jc w:val="center"/>
              <w:rPr>
                <w:rFonts w:ascii="宋体" w:hAnsi="宋体" w:cs="宋体"/>
                <w:szCs w:val="21"/>
                <w:highlight w:val="none"/>
              </w:rPr>
            </w:pPr>
            <w:r>
              <w:rPr>
                <w:rFonts w:hint="eastAsia" w:ascii="宋体" w:hAnsi="宋体" w:cs="宋体"/>
                <w:szCs w:val="21"/>
                <w:highlight w:val="none"/>
              </w:rPr>
              <w:t>备注</w:t>
            </w:r>
          </w:p>
        </w:tc>
        <w:tc>
          <w:tcPr>
            <w:tcW w:w="7354" w:type="dxa"/>
          </w:tcPr>
          <w:p>
            <w:pPr>
              <w:ind w:firstLine="420" w:firstLineChars="200"/>
              <w:jc w:val="left"/>
              <w:rPr>
                <w:rFonts w:ascii="宋体" w:hAnsi="宋体" w:cs="宋体"/>
                <w:szCs w:val="21"/>
                <w:highlight w:val="none"/>
              </w:rPr>
            </w:pPr>
            <w:r>
              <w:rPr>
                <w:rFonts w:hint="eastAsia" w:ascii="宋体" w:hAnsi="宋体" w:cs="宋体"/>
                <w:szCs w:val="21"/>
                <w:highlight w:val="none"/>
              </w:rPr>
              <w:t>因为物流费用和油价、限载、距离有密切相关的联系，所以物流单价有可能出现浮动。当浮动范围在正负5%以内不做单价调整。超出正负5%后及时了解市场行情根据实际情况会做出相应的调整。</w:t>
            </w:r>
          </w:p>
          <w:p>
            <w:pPr>
              <w:ind w:firstLine="420" w:firstLineChars="200"/>
              <w:jc w:val="left"/>
              <w:rPr>
                <w:rFonts w:ascii="宋体" w:hAnsi="宋体" w:cs="宋体"/>
                <w:szCs w:val="21"/>
                <w:highlight w:val="none"/>
              </w:rPr>
            </w:pPr>
          </w:p>
          <w:p>
            <w:pPr>
              <w:ind w:firstLine="420" w:firstLineChars="200"/>
              <w:jc w:val="left"/>
              <w:rPr>
                <w:rFonts w:ascii="宋体" w:hAnsi="宋体" w:cs="宋体"/>
                <w:szCs w:val="21"/>
                <w:highlight w:val="none"/>
              </w:rPr>
            </w:pPr>
            <w:r>
              <w:rPr>
                <w:rFonts w:hint="eastAsia" w:ascii="宋体" w:hAnsi="宋体" w:cs="宋体"/>
                <w:szCs w:val="21"/>
                <w:highlight w:val="none"/>
              </w:rPr>
              <w:t>一式肆份，甲方贰份，乙方贰份</w:t>
            </w:r>
          </w:p>
        </w:tc>
      </w:tr>
    </w:tbl>
    <w:p>
      <w:pPr>
        <w:jc w:val="center"/>
        <w:rPr>
          <w:rFonts w:ascii="宋体" w:hAnsi="宋体" w:cs="宋体"/>
          <w:b/>
          <w:sz w:val="36"/>
          <w:szCs w:val="36"/>
          <w:highlight w:val="none"/>
        </w:rPr>
      </w:pPr>
    </w:p>
    <w:p>
      <w:pPr>
        <w:spacing w:line="120" w:lineRule="auto"/>
        <w:ind w:left="5880" w:hanging="5880" w:hangingChars="2100"/>
        <w:rPr>
          <w:rFonts w:ascii="仿宋_GB2312" w:hAnsi="华文宋体" w:eastAsia="仿宋_GB2312"/>
          <w:sz w:val="28"/>
          <w:szCs w:val="28"/>
          <w:highlight w:val="none"/>
        </w:rPr>
      </w:pPr>
      <w:r>
        <w:rPr>
          <w:rFonts w:hint="eastAsia" w:ascii="仿宋_GB2312" w:hAnsi="华文宋体" w:eastAsia="仿宋_GB2312"/>
          <w:sz w:val="28"/>
          <w:szCs w:val="28"/>
          <w:highlight w:val="none"/>
        </w:rPr>
        <w:t>甲方（盖章）：贵州建工云富集采有    乙方（盖章）：</w:t>
      </w:r>
    </w:p>
    <w:p>
      <w:pPr>
        <w:spacing w:line="120" w:lineRule="auto"/>
        <w:ind w:left="5880" w:leftChars="800" w:hanging="4200" w:hangingChars="1500"/>
        <w:rPr>
          <w:rFonts w:ascii="仿宋_GB2312" w:hAnsi="华文宋体" w:eastAsia="仿宋_GB2312"/>
          <w:sz w:val="28"/>
          <w:szCs w:val="28"/>
          <w:highlight w:val="none"/>
        </w:rPr>
      </w:pPr>
      <w:r>
        <w:rPr>
          <w:rFonts w:hint="eastAsia" w:ascii="仿宋_GB2312" w:hAnsi="华文宋体" w:eastAsia="仿宋_GB2312"/>
          <w:sz w:val="28"/>
          <w:szCs w:val="28"/>
          <w:highlight w:val="none"/>
        </w:rPr>
        <w:t xml:space="preserve">限责任公司                                                          </w:t>
      </w:r>
    </w:p>
    <w:p>
      <w:pPr>
        <w:spacing w:line="120" w:lineRule="auto"/>
        <w:ind w:left="5600" w:hanging="5600" w:hangingChars="2000"/>
        <w:rPr>
          <w:rFonts w:ascii="仿宋_GB2312" w:hAnsi="华文宋体" w:eastAsia="仿宋_GB2312"/>
          <w:sz w:val="28"/>
          <w:szCs w:val="28"/>
          <w:highlight w:val="none"/>
        </w:rPr>
      </w:pPr>
      <w:r>
        <w:rPr>
          <w:rFonts w:hint="eastAsia" w:ascii="仿宋_GB2312" w:hAnsi="华文宋体" w:eastAsia="仿宋_GB2312"/>
          <w:sz w:val="28"/>
          <w:szCs w:val="28"/>
          <w:highlight w:val="none"/>
        </w:rPr>
        <w:t>住所：                           住所：</w:t>
      </w:r>
    </w:p>
    <w:p>
      <w:pPr>
        <w:spacing w:line="120" w:lineRule="auto"/>
        <w:rPr>
          <w:rFonts w:ascii="仿宋_GB2312" w:hAnsi="华文宋体" w:eastAsia="仿宋_GB2312"/>
          <w:sz w:val="28"/>
          <w:szCs w:val="28"/>
          <w:highlight w:val="none"/>
        </w:rPr>
      </w:pPr>
      <w:r>
        <w:rPr>
          <w:rFonts w:hint="eastAsia" w:ascii="仿宋_GB2312" w:hAnsi="华文宋体" w:eastAsia="仿宋_GB2312"/>
          <w:sz w:val="28"/>
          <w:szCs w:val="28"/>
          <w:highlight w:val="none"/>
        </w:rPr>
        <w:t>法定代表人：廖卫红               法定代表人：</w:t>
      </w:r>
      <w:r>
        <w:rPr>
          <w:rFonts w:ascii="仿宋_GB2312" w:hAnsi="华文宋体" w:eastAsia="仿宋_GB2312"/>
          <w:sz w:val="28"/>
          <w:szCs w:val="28"/>
          <w:highlight w:val="none"/>
        </w:rPr>
        <w:t xml:space="preserve"> </w:t>
      </w:r>
      <w:r>
        <w:rPr>
          <w:rFonts w:hint="eastAsia" w:ascii="仿宋_GB2312" w:hAnsi="华文宋体" w:eastAsia="仿宋_GB2312"/>
          <w:sz w:val="28"/>
          <w:szCs w:val="28"/>
          <w:highlight w:val="none"/>
        </w:rPr>
        <w:t xml:space="preserve">       </w:t>
      </w:r>
      <w:r>
        <w:rPr>
          <w:rFonts w:ascii="仿宋_GB2312" w:hAnsi="华文宋体" w:eastAsia="仿宋_GB2312"/>
          <w:sz w:val="28"/>
          <w:szCs w:val="28"/>
          <w:highlight w:val="none"/>
        </w:rPr>
        <w:t xml:space="preserve">    </w:t>
      </w:r>
      <w:r>
        <w:rPr>
          <w:rFonts w:hint="eastAsia" w:ascii="仿宋_GB2312" w:hAnsi="华文宋体" w:eastAsia="仿宋_GB2312"/>
          <w:sz w:val="28"/>
          <w:szCs w:val="28"/>
          <w:highlight w:val="none"/>
        </w:rPr>
        <w:t xml:space="preserve">        </w:t>
      </w:r>
    </w:p>
    <w:p>
      <w:pPr>
        <w:spacing w:line="120" w:lineRule="auto"/>
        <w:rPr>
          <w:rFonts w:ascii="仿宋_GB2312" w:hAnsi="华文宋体" w:eastAsia="仿宋_GB2312"/>
          <w:sz w:val="28"/>
          <w:szCs w:val="28"/>
          <w:highlight w:val="none"/>
        </w:rPr>
      </w:pPr>
      <w:r>
        <w:rPr>
          <w:rFonts w:hint="eastAsia" w:ascii="仿宋_GB2312" w:hAnsi="华文宋体" w:eastAsia="仿宋_GB2312"/>
          <w:sz w:val="28"/>
          <w:szCs w:val="28"/>
          <w:highlight w:val="none"/>
        </w:rPr>
        <w:t>通讯地址：                       通讯地址：</w:t>
      </w:r>
    </w:p>
    <w:p>
      <w:pPr>
        <w:spacing w:line="120" w:lineRule="auto"/>
        <w:rPr>
          <w:rFonts w:ascii="仿宋_GB2312" w:hAnsi="华文宋体" w:eastAsia="仿宋_GB2312"/>
          <w:sz w:val="28"/>
          <w:szCs w:val="28"/>
          <w:highlight w:val="none"/>
        </w:rPr>
      </w:pPr>
      <w:r>
        <w:rPr>
          <w:rFonts w:hint="eastAsia" w:ascii="仿宋_GB2312" w:hAnsi="华文宋体" w:eastAsia="仿宋_GB2312"/>
          <w:sz w:val="28"/>
          <w:szCs w:val="28"/>
          <w:highlight w:val="none"/>
        </w:rPr>
        <w:t>电话：                           电话：</w:t>
      </w:r>
    </w:p>
    <w:p>
      <w:pPr>
        <w:spacing w:line="120" w:lineRule="auto"/>
        <w:rPr>
          <w:rFonts w:hint="eastAsia" w:ascii="仿宋_GB2312" w:hAnsi="华文宋体" w:eastAsia="仿宋_GB2312"/>
          <w:sz w:val="28"/>
          <w:szCs w:val="28"/>
          <w:highlight w:val="none"/>
        </w:rPr>
        <w:sectPr>
          <w:headerReference r:id="rId6" w:type="default"/>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华文宋体" w:eastAsia="仿宋_GB2312"/>
          <w:sz w:val="28"/>
          <w:szCs w:val="28"/>
          <w:highlight w:val="none"/>
        </w:rPr>
        <w:t>传真：                           传真</w:t>
      </w:r>
    </w:p>
    <w:p>
      <w:pPr>
        <w:spacing w:line="560" w:lineRule="exact"/>
        <w:rPr>
          <w:rFonts w:ascii="仿宋_GB2312" w:hAnsi="华文宋体" w:eastAsia="仿宋_GB2312"/>
          <w:sz w:val="28"/>
          <w:szCs w:val="28"/>
          <w:highlight w:val="none"/>
        </w:rPr>
      </w:pPr>
      <w:r>
        <w:rPr>
          <w:rFonts w:hint="eastAsia" w:ascii="仿宋_GB2312" w:hAnsi="华文宋体" w:eastAsia="仿宋_GB2312"/>
          <w:sz w:val="28"/>
          <w:szCs w:val="28"/>
          <w:highlight w:val="none"/>
        </w:rPr>
        <w:t>附件3</w:t>
      </w:r>
    </w:p>
    <w:p>
      <w:pPr>
        <w:widowControl/>
        <w:spacing w:line="240" w:lineRule="auto"/>
        <w:jc w:val="left"/>
      </w:pPr>
      <w:r>
        <w:rPr>
          <w:rFonts w:hint="eastAsia"/>
          <w:highlight w:val="none"/>
        </w:rPr>
        <w:drawing>
          <wp:inline distT="0" distB="0" distL="0" distR="0">
            <wp:extent cx="9236075" cy="4785360"/>
            <wp:effectExtent l="0" t="0" r="317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36075" cy="4785360"/>
                    </a:xfrm>
                    <a:prstGeom prst="rect">
                      <a:avLst/>
                    </a:prstGeom>
                    <a:noFill/>
                    <a:ln>
                      <a:noFill/>
                    </a:ln>
                  </pic:spPr>
                </pic:pic>
              </a:graphicData>
            </a:graphic>
          </wp:inline>
        </w:drawing>
      </w:r>
    </w:p>
    <w:sectPr>
      <w:footerReference r:id="rId8"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20</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20</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jc w:val="right"/>
    </w:pPr>
    <w:r>
      <w:rPr>
        <w:sz w:val="18"/>
      </w:rPr>
      <w:pict>
        <v:shape id="PowerPlusWaterMarkObject13194" o:spid="_x0000_s2052" o:spt="136" type="#_x0000_t136" style="position:absolute;left:0pt;height:50.1pt;width:537.1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贵州建工云富集采有限责任公司" style="font-family:微软雅黑;font-size:36pt;v-same-letter-heights:f;v-text-align:center;"/>
        </v:shape>
      </w:pict>
    </w:r>
    <w:r>
      <w:drawing>
        <wp:anchor distT="0" distB="0" distL="114300" distR="114300" simplePos="0" relativeHeight="251660288" behindDoc="0" locked="0" layoutInCell="1" allowOverlap="1">
          <wp:simplePos x="0" y="0"/>
          <wp:positionH relativeFrom="column">
            <wp:posOffset>67310</wp:posOffset>
          </wp:positionH>
          <wp:positionV relativeFrom="paragraph">
            <wp:posOffset>12065</wp:posOffset>
          </wp:positionV>
          <wp:extent cx="466090" cy="381635"/>
          <wp:effectExtent l="0" t="0" r="3810" b="12065"/>
          <wp:wrapNone/>
          <wp:docPr id="3" name="图片 3" descr="QQ图片2017060623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70606230420"/>
                  <pic:cNvPicPr>
                    <a:picLocks noChangeAspect="1"/>
                  </pic:cNvPicPr>
                </pic:nvPicPr>
                <pic:blipFill>
                  <a:blip r:embed="rId1"/>
                  <a:stretch>
                    <a:fillRect/>
                  </a:stretch>
                </pic:blipFill>
                <pic:spPr>
                  <a:xfrm>
                    <a:off x="1210310" y="552450"/>
                    <a:ext cx="466090" cy="3816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2336" behindDoc="0" locked="0" layoutInCell="1" allowOverlap="1">
          <wp:simplePos x="0" y="0"/>
          <wp:positionH relativeFrom="column">
            <wp:posOffset>67310</wp:posOffset>
          </wp:positionH>
          <wp:positionV relativeFrom="paragraph">
            <wp:posOffset>-635</wp:posOffset>
          </wp:positionV>
          <wp:extent cx="466090" cy="381635"/>
          <wp:effectExtent l="0" t="0" r="10160" b="18415"/>
          <wp:wrapNone/>
          <wp:docPr id="5" name="图片 5" descr="QQ图片2017060623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70606230420"/>
                  <pic:cNvPicPr>
                    <a:picLocks noChangeAspect="1"/>
                  </pic:cNvPicPr>
                </pic:nvPicPr>
                <pic:blipFill>
                  <a:blip r:embed="rId1"/>
                  <a:stretch>
                    <a:fillRect/>
                  </a:stretch>
                </pic:blipFill>
                <pic:spPr>
                  <a:xfrm>
                    <a:off x="0" y="0"/>
                    <a:ext cx="466090" cy="381635"/>
                  </a:xfrm>
                  <a:prstGeom prst="rect">
                    <a:avLst/>
                  </a:prstGeom>
                  <a:noFill/>
                  <a:ln>
                    <a:noFill/>
                  </a:ln>
                </pic:spPr>
              </pic:pic>
            </a:graphicData>
          </a:graphic>
        </wp:anchor>
      </w:drawing>
    </w:r>
    <w:r>
      <w:pict>
        <v:shape id="_x0000_s2053" o:spid="_x0000_s2053" o:spt="136" type="#_x0000_t136" style="position:absolute;left:0pt;height:35.25pt;width:556.65pt;mso-position-horizontal:center;mso-position-horizontal-relative:margin;mso-position-vertical:center;mso-position-vertical-relative:margin;rotation:20643840f;z-index:-251655168;mso-width-relative:page;mso-height-relative:page;" fillcolor="#A6A6A6" filled="t" stroked="f" coordsize="21600,21600" o:allowincell="f">
          <v:path/>
          <v:fill on="t" opacity="32768f" focussize="0,0"/>
          <v:stroke on="f"/>
          <v:imagedata o:title=""/>
          <o:lock v:ext="edit" aspectratio="t"/>
          <v:textpath on="t" fitshape="t" fitpath="t" trim="t" xscale="f" string="贵州建工云富集采有限责任公司" style="font-family:宋体;font-size:35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4BD8B"/>
    <w:multiLevelType w:val="singleLevel"/>
    <w:tmpl w:val="8E54BD8B"/>
    <w:lvl w:ilvl="0" w:tentative="0">
      <w:start w:val="7"/>
      <w:numFmt w:val="decimal"/>
      <w:suff w:val="space"/>
      <w:lvlText w:val="%1."/>
      <w:lvlJc w:val="left"/>
    </w:lvl>
  </w:abstractNum>
  <w:abstractNum w:abstractNumId="1">
    <w:nsid w:val="92EAEBC0"/>
    <w:multiLevelType w:val="singleLevel"/>
    <w:tmpl w:val="92EAEBC0"/>
    <w:lvl w:ilvl="0" w:tentative="0">
      <w:start w:val="8"/>
      <w:numFmt w:val="decimal"/>
      <w:suff w:val="space"/>
      <w:lvlText w:val="%1."/>
      <w:lvlJc w:val="left"/>
    </w:lvl>
  </w:abstractNum>
  <w:abstractNum w:abstractNumId="2">
    <w:nsid w:val="A9F0631C"/>
    <w:multiLevelType w:val="singleLevel"/>
    <w:tmpl w:val="A9F0631C"/>
    <w:lvl w:ilvl="0" w:tentative="0">
      <w:start w:val="1"/>
      <w:numFmt w:val="decimal"/>
      <w:suff w:val="space"/>
      <w:lvlText w:val="%1."/>
      <w:lvlJc w:val="left"/>
    </w:lvl>
  </w:abstractNum>
  <w:abstractNum w:abstractNumId="3">
    <w:nsid w:val="F1801E5A"/>
    <w:multiLevelType w:val="singleLevel"/>
    <w:tmpl w:val="F1801E5A"/>
    <w:lvl w:ilvl="0" w:tentative="0">
      <w:start w:val="1"/>
      <w:numFmt w:val="decimal"/>
      <w:suff w:val="space"/>
      <w:lvlText w:val="%1."/>
      <w:lvlJc w:val="left"/>
    </w:lvl>
  </w:abstractNum>
  <w:abstractNum w:abstractNumId="4">
    <w:nsid w:val="1BC80672"/>
    <w:multiLevelType w:val="multilevel"/>
    <w:tmpl w:val="1BC80672"/>
    <w:lvl w:ilvl="0" w:tentative="0">
      <w:start w:val="1"/>
      <w:numFmt w:val="decimal"/>
      <w:lvlText w:val="%1、"/>
      <w:lvlJc w:val="left"/>
      <w:pPr>
        <w:tabs>
          <w:tab w:val="left" w:pos="860"/>
        </w:tabs>
        <w:ind w:left="860" w:hanging="720"/>
      </w:pPr>
      <w:rPr>
        <w:rFonts w:ascii="Times New Roman" w:hAnsi="Times New Roman" w:eastAsia="宋体" w:cs="Times New Roman"/>
      </w:rPr>
    </w:lvl>
    <w:lvl w:ilvl="1" w:tentative="0">
      <w:start w:val="1"/>
      <w:numFmt w:val="lowerLetter"/>
      <w:lvlText w:val="%2)"/>
      <w:lvlJc w:val="left"/>
      <w:pPr>
        <w:tabs>
          <w:tab w:val="left" w:pos="980"/>
        </w:tabs>
        <w:ind w:left="980" w:hanging="420"/>
      </w:pPr>
    </w:lvl>
    <w:lvl w:ilvl="2" w:tentative="0">
      <w:start w:val="1"/>
      <w:numFmt w:val="lowerRoman"/>
      <w:lvlText w:val="%3."/>
      <w:lvlJc w:val="right"/>
      <w:pPr>
        <w:tabs>
          <w:tab w:val="left" w:pos="1400"/>
        </w:tabs>
        <w:ind w:left="1400" w:hanging="420"/>
      </w:pPr>
    </w:lvl>
    <w:lvl w:ilvl="3" w:tentative="0">
      <w:start w:val="1"/>
      <w:numFmt w:val="decimal"/>
      <w:lvlText w:val="%4."/>
      <w:lvlJc w:val="left"/>
      <w:pPr>
        <w:tabs>
          <w:tab w:val="left" w:pos="1820"/>
        </w:tabs>
        <w:ind w:left="1820" w:hanging="420"/>
      </w:pPr>
    </w:lvl>
    <w:lvl w:ilvl="4" w:tentative="0">
      <w:start w:val="1"/>
      <w:numFmt w:val="lowerLetter"/>
      <w:lvlText w:val="%5)"/>
      <w:lvlJc w:val="left"/>
      <w:pPr>
        <w:tabs>
          <w:tab w:val="left" w:pos="2240"/>
        </w:tabs>
        <w:ind w:left="2240" w:hanging="420"/>
      </w:pPr>
    </w:lvl>
    <w:lvl w:ilvl="5" w:tentative="0">
      <w:start w:val="1"/>
      <w:numFmt w:val="lowerRoman"/>
      <w:lvlText w:val="%6."/>
      <w:lvlJc w:val="right"/>
      <w:pPr>
        <w:tabs>
          <w:tab w:val="left" w:pos="2660"/>
        </w:tabs>
        <w:ind w:left="2660" w:hanging="420"/>
      </w:pPr>
    </w:lvl>
    <w:lvl w:ilvl="6" w:tentative="0">
      <w:start w:val="1"/>
      <w:numFmt w:val="decimal"/>
      <w:lvlText w:val="%7."/>
      <w:lvlJc w:val="left"/>
      <w:pPr>
        <w:tabs>
          <w:tab w:val="left" w:pos="3080"/>
        </w:tabs>
        <w:ind w:left="3080" w:hanging="420"/>
      </w:pPr>
    </w:lvl>
    <w:lvl w:ilvl="7" w:tentative="0">
      <w:start w:val="1"/>
      <w:numFmt w:val="lowerLetter"/>
      <w:lvlText w:val="%8)"/>
      <w:lvlJc w:val="left"/>
      <w:pPr>
        <w:tabs>
          <w:tab w:val="left" w:pos="3500"/>
        </w:tabs>
        <w:ind w:left="3500" w:hanging="420"/>
      </w:pPr>
    </w:lvl>
    <w:lvl w:ilvl="8" w:tentative="0">
      <w:start w:val="1"/>
      <w:numFmt w:val="lowerRoman"/>
      <w:lvlText w:val="%9."/>
      <w:lvlJc w:val="right"/>
      <w:pPr>
        <w:tabs>
          <w:tab w:val="left" w:pos="3920"/>
        </w:tabs>
        <w:ind w:left="3920" w:hanging="420"/>
      </w:pPr>
    </w:lvl>
  </w:abstractNum>
  <w:abstractNum w:abstractNumId="5">
    <w:nsid w:val="5E912253"/>
    <w:multiLevelType w:val="multilevel"/>
    <w:tmpl w:val="5E912253"/>
    <w:lvl w:ilvl="0" w:tentative="0">
      <w:start w:val="1"/>
      <w:numFmt w:val="decimal"/>
      <w:lvlText w:val="%1、"/>
      <w:lvlJc w:val="left"/>
      <w:pPr>
        <w:tabs>
          <w:tab w:val="left" w:pos="360"/>
        </w:tabs>
        <w:ind w:left="360" w:hanging="360"/>
      </w:pPr>
      <w:rPr>
        <w:rFonts w:ascii="宋体" w:hAnsi="宋体" w:eastAsia="宋体"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0A5ACEA"/>
    <w:multiLevelType w:val="singleLevel"/>
    <w:tmpl w:val="60A5ACEA"/>
    <w:lvl w:ilvl="0" w:tentative="0">
      <w:start w:val="6"/>
      <w:numFmt w:val="decimal"/>
      <w:suff w:val="space"/>
      <w:lvlText w:val="%1."/>
      <w:lvlJc w:val="left"/>
    </w:lvl>
  </w:abstractNum>
  <w:abstractNum w:abstractNumId="7">
    <w:nsid w:val="757D4304"/>
    <w:multiLevelType w:val="singleLevel"/>
    <w:tmpl w:val="757D4304"/>
    <w:lvl w:ilvl="0" w:tentative="0">
      <w:start w:val="1"/>
      <w:numFmt w:val="chineseCounting"/>
      <w:suff w:val="nothing"/>
      <w:lvlText w:val="（%1）"/>
      <w:lvlJc w:val="left"/>
      <w:rPr>
        <w:rFonts w:hint="eastAsia"/>
      </w:rPr>
    </w:lvl>
  </w:abstractNum>
  <w:num w:numId="1">
    <w:abstractNumId w:val="3"/>
  </w:num>
  <w:num w:numId="2">
    <w:abstractNumId w:val="7"/>
  </w:num>
  <w:num w:numId="3">
    <w:abstractNumId w:val="6"/>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OWRlMDhmYmM3YjU3Y2VkMDc1OWZkYzI5M2VlOTkifQ=="/>
  </w:docVars>
  <w:rsids>
    <w:rsidRoot w:val="50F15565"/>
    <w:rsid w:val="00003D6B"/>
    <w:rsid w:val="0000737E"/>
    <w:rsid w:val="000121FC"/>
    <w:rsid w:val="00016A9F"/>
    <w:rsid w:val="000346E1"/>
    <w:rsid w:val="00036731"/>
    <w:rsid w:val="00043977"/>
    <w:rsid w:val="000539FF"/>
    <w:rsid w:val="000579B0"/>
    <w:rsid w:val="000657AB"/>
    <w:rsid w:val="00065EF3"/>
    <w:rsid w:val="0006619F"/>
    <w:rsid w:val="0008339A"/>
    <w:rsid w:val="000840B9"/>
    <w:rsid w:val="00084CE6"/>
    <w:rsid w:val="000A464D"/>
    <w:rsid w:val="000A7AAF"/>
    <w:rsid w:val="000A7B5B"/>
    <w:rsid w:val="000B6BFF"/>
    <w:rsid w:val="000C0978"/>
    <w:rsid w:val="000C1F1C"/>
    <w:rsid w:val="000E5A33"/>
    <w:rsid w:val="000E7F4E"/>
    <w:rsid w:val="000F72E5"/>
    <w:rsid w:val="000F7BD5"/>
    <w:rsid w:val="00103184"/>
    <w:rsid w:val="00112517"/>
    <w:rsid w:val="0011589F"/>
    <w:rsid w:val="00120E82"/>
    <w:rsid w:val="00126EE7"/>
    <w:rsid w:val="00134D76"/>
    <w:rsid w:val="00144AE2"/>
    <w:rsid w:val="0015141A"/>
    <w:rsid w:val="00154146"/>
    <w:rsid w:val="00162580"/>
    <w:rsid w:val="00165E00"/>
    <w:rsid w:val="0017410C"/>
    <w:rsid w:val="001754F7"/>
    <w:rsid w:val="00183045"/>
    <w:rsid w:val="00194A7E"/>
    <w:rsid w:val="00195B5A"/>
    <w:rsid w:val="001A22FD"/>
    <w:rsid w:val="001A400A"/>
    <w:rsid w:val="001B3B23"/>
    <w:rsid w:val="001B409A"/>
    <w:rsid w:val="001C23E6"/>
    <w:rsid w:val="001C599F"/>
    <w:rsid w:val="001C6D12"/>
    <w:rsid w:val="001C748B"/>
    <w:rsid w:val="001D4927"/>
    <w:rsid w:val="001E33CC"/>
    <w:rsid w:val="001E6E7D"/>
    <w:rsid w:val="001F02CA"/>
    <w:rsid w:val="001F5A7F"/>
    <w:rsid w:val="0020193D"/>
    <w:rsid w:val="00202589"/>
    <w:rsid w:val="0020559F"/>
    <w:rsid w:val="0021234D"/>
    <w:rsid w:val="002135B6"/>
    <w:rsid w:val="00217879"/>
    <w:rsid w:val="002300A8"/>
    <w:rsid w:val="00232D62"/>
    <w:rsid w:val="00241B5E"/>
    <w:rsid w:val="00244BEF"/>
    <w:rsid w:val="00246447"/>
    <w:rsid w:val="00256982"/>
    <w:rsid w:val="002770E7"/>
    <w:rsid w:val="0028083F"/>
    <w:rsid w:val="00285F43"/>
    <w:rsid w:val="00286F0B"/>
    <w:rsid w:val="002920E6"/>
    <w:rsid w:val="002A71C9"/>
    <w:rsid w:val="002B033E"/>
    <w:rsid w:val="002B1A30"/>
    <w:rsid w:val="002B68AB"/>
    <w:rsid w:val="002C156A"/>
    <w:rsid w:val="002C5157"/>
    <w:rsid w:val="00300F7E"/>
    <w:rsid w:val="00301C19"/>
    <w:rsid w:val="00304403"/>
    <w:rsid w:val="00323032"/>
    <w:rsid w:val="00326F1A"/>
    <w:rsid w:val="00327405"/>
    <w:rsid w:val="00330988"/>
    <w:rsid w:val="00330A95"/>
    <w:rsid w:val="003316AC"/>
    <w:rsid w:val="0033247E"/>
    <w:rsid w:val="00357767"/>
    <w:rsid w:val="00371FDB"/>
    <w:rsid w:val="0037791B"/>
    <w:rsid w:val="0039325C"/>
    <w:rsid w:val="00394DC2"/>
    <w:rsid w:val="003A2C31"/>
    <w:rsid w:val="003B72A5"/>
    <w:rsid w:val="003C0FAD"/>
    <w:rsid w:val="003D289D"/>
    <w:rsid w:val="003D42E5"/>
    <w:rsid w:val="003E0571"/>
    <w:rsid w:val="003E2E4C"/>
    <w:rsid w:val="003F46C4"/>
    <w:rsid w:val="003F5B09"/>
    <w:rsid w:val="003F6F7F"/>
    <w:rsid w:val="00410B71"/>
    <w:rsid w:val="004206EA"/>
    <w:rsid w:val="00424921"/>
    <w:rsid w:val="00430052"/>
    <w:rsid w:val="004425C9"/>
    <w:rsid w:val="00446286"/>
    <w:rsid w:val="00457EF5"/>
    <w:rsid w:val="004627DB"/>
    <w:rsid w:val="004674B2"/>
    <w:rsid w:val="00481DBD"/>
    <w:rsid w:val="00492AE4"/>
    <w:rsid w:val="004C1B37"/>
    <w:rsid w:val="004C5C60"/>
    <w:rsid w:val="004C719E"/>
    <w:rsid w:val="004D0DDE"/>
    <w:rsid w:val="004D62C9"/>
    <w:rsid w:val="004D6933"/>
    <w:rsid w:val="004D7941"/>
    <w:rsid w:val="004E3559"/>
    <w:rsid w:val="0050061B"/>
    <w:rsid w:val="005045C9"/>
    <w:rsid w:val="005173F3"/>
    <w:rsid w:val="00517E5C"/>
    <w:rsid w:val="00525C1B"/>
    <w:rsid w:val="0052690D"/>
    <w:rsid w:val="0053396D"/>
    <w:rsid w:val="005558AA"/>
    <w:rsid w:val="00566046"/>
    <w:rsid w:val="005676AB"/>
    <w:rsid w:val="00583A56"/>
    <w:rsid w:val="00596631"/>
    <w:rsid w:val="005A6FE0"/>
    <w:rsid w:val="005B0CDA"/>
    <w:rsid w:val="005C0986"/>
    <w:rsid w:val="005C3FA6"/>
    <w:rsid w:val="005C4D86"/>
    <w:rsid w:val="005D172C"/>
    <w:rsid w:val="005E21EF"/>
    <w:rsid w:val="005F21AD"/>
    <w:rsid w:val="005F5A79"/>
    <w:rsid w:val="00601427"/>
    <w:rsid w:val="00614E89"/>
    <w:rsid w:val="006203D9"/>
    <w:rsid w:val="006333FD"/>
    <w:rsid w:val="00637600"/>
    <w:rsid w:val="0065471E"/>
    <w:rsid w:val="006628C1"/>
    <w:rsid w:val="00663913"/>
    <w:rsid w:val="00665B16"/>
    <w:rsid w:val="006725CA"/>
    <w:rsid w:val="0068523B"/>
    <w:rsid w:val="00696AF9"/>
    <w:rsid w:val="006A1B29"/>
    <w:rsid w:val="006A470E"/>
    <w:rsid w:val="006B3B82"/>
    <w:rsid w:val="006C05E6"/>
    <w:rsid w:val="006C2506"/>
    <w:rsid w:val="006C4257"/>
    <w:rsid w:val="006C4AD2"/>
    <w:rsid w:val="006C681B"/>
    <w:rsid w:val="006D0AE7"/>
    <w:rsid w:val="006D4676"/>
    <w:rsid w:val="006D4C35"/>
    <w:rsid w:val="006D7D6B"/>
    <w:rsid w:val="006E5DCA"/>
    <w:rsid w:val="006F36C2"/>
    <w:rsid w:val="006F38AE"/>
    <w:rsid w:val="006F4E67"/>
    <w:rsid w:val="006F6E9B"/>
    <w:rsid w:val="00752818"/>
    <w:rsid w:val="0076024E"/>
    <w:rsid w:val="00784460"/>
    <w:rsid w:val="00786832"/>
    <w:rsid w:val="007A2A78"/>
    <w:rsid w:val="007A2F6C"/>
    <w:rsid w:val="007B657D"/>
    <w:rsid w:val="007C4488"/>
    <w:rsid w:val="007D7A2B"/>
    <w:rsid w:val="00814038"/>
    <w:rsid w:val="00821370"/>
    <w:rsid w:val="008226C2"/>
    <w:rsid w:val="0082551F"/>
    <w:rsid w:val="00827A05"/>
    <w:rsid w:val="00827E52"/>
    <w:rsid w:val="00832BD9"/>
    <w:rsid w:val="00832E7F"/>
    <w:rsid w:val="00841AEA"/>
    <w:rsid w:val="00846135"/>
    <w:rsid w:val="0085077F"/>
    <w:rsid w:val="00851A20"/>
    <w:rsid w:val="0086288D"/>
    <w:rsid w:val="0087091A"/>
    <w:rsid w:val="0087317D"/>
    <w:rsid w:val="00875E24"/>
    <w:rsid w:val="008966EC"/>
    <w:rsid w:val="008A61A4"/>
    <w:rsid w:val="008D0989"/>
    <w:rsid w:val="008D5B5E"/>
    <w:rsid w:val="00907163"/>
    <w:rsid w:val="00912C82"/>
    <w:rsid w:val="009147CB"/>
    <w:rsid w:val="00916834"/>
    <w:rsid w:val="00941F43"/>
    <w:rsid w:val="009442F0"/>
    <w:rsid w:val="009675C8"/>
    <w:rsid w:val="00971CCE"/>
    <w:rsid w:val="00986894"/>
    <w:rsid w:val="009918B2"/>
    <w:rsid w:val="00995500"/>
    <w:rsid w:val="009A4661"/>
    <w:rsid w:val="009B0075"/>
    <w:rsid w:val="009B24E0"/>
    <w:rsid w:val="009B4C31"/>
    <w:rsid w:val="009B5DA4"/>
    <w:rsid w:val="009C0FD5"/>
    <w:rsid w:val="009C2AAC"/>
    <w:rsid w:val="009D3200"/>
    <w:rsid w:val="009D49D4"/>
    <w:rsid w:val="009D4AFE"/>
    <w:rsid w:val="009D5458"/>
    <w:rsid w:val="009D773E"/>
    <w:rsid w:val="009E326E"/>
    <w:rsid w:val="009F6238"/>
    <w:rsid w:val="00A070B6"/>
    <w:rsid w:val="00A0724C"/>
    <w:rsid w:val="00A145AF"/>
    <w:rsid w:val="00A34D75"/>
    <w:rsid w:val="00A57686"/>
    <w:rsid w:val="00A62BD1"/>
    <w:rsid w:val="00A670AC"/>
    <w:rsid w:val="00A72ECD"/>
    <w:rsid w:val="00A74598"/>
    <w:rsid w:val="00A75867"/>
    <w:rsid w:val="00A82731"/>
    <w:rsid w:val="00A86C56"/>
    <w:rsid w:val="00A9418D"/>
    <w:rsid w:val="00A9578C"/>
    <w:rsid w:val="00AA4443"/>
    <w:rsid w:val="00AA4B9F"/>
    <w:rsid w:val="00AB119E"/>
    <w:rsid w:val="00AC1F18"/>
    <w:rsid w:val="00AD3218"/>
    <w:rsid w:val="00AD60CA"/>
    <w:rsid w:val="00AE0AA7"/>
    <w:rsid w:val="00AE33E4"/>
    <w:rsid w:val="00AE340A"/>
    <w:rsid w:val="00AE364A"/>
    <w:rsid w:val="00AE6B5A"/>
    <w:rsid w:val="00AE7259"/>
    <w:rsid w:val="00AF6094"/>
    <w:rsid w:val="00B00024"/>
    <w:rsid w:val="00B23809"/>
    <w:rsid w:val="00B34635"/>
    <w:rsid w:val="00B50C4B"/>
    <w:rsid w:val="00B5347F"/>
    <w:rsid w:val="00B57FB2"/>
    <w:rsid w:val="00B64023"/>
    <w:rsid w:val="00B70E36"/>
    <w:rsid w:val="00B80467"/>
    <w:rsid w:val="00B83ED5"/>
    <w:rsid w:val="00B84259"/>
    <w:rsid w:val="00B92AA6"/>
    <w:rsid w:val="00B97481"/>
    <w:rsid w:val="00BA42D3"/>
    <w:rsid w:val="00BB5241"/>
    <w:rsid w:val="00BB61A8"/>
    <w:rsid w:val="00BC05C8"/>
    <w:rsid w:val="00BD086E"/>
    <w:rsid w:val="00BF29AA"/>
    <w:rsid w:val="00BF385F"/>
    <w:rsid w:val="00C0698A"/>
    <w:rsid w:val="00C14983"/>
    <w:rsid w:val="00C316B3"/>
    <w:rsid w:val="00C361D7"/>
    <w:rsid w:val="00C4050D"/>
    <w:rsid w:val="00C43FAE"/>
    <w:rsid w:val="00C53437"/>
    <w:rsid w:val="00C64B93"/>
    <w:rsid w:val="00C655D2"/>
    <w:rsid w:val="00C71F9E"/>
    <w:rsid w:val="00C726A8"/>
    <w:rsid w:val="00C73E34"/>
    <w:rsid w:val="00C765DC"/>
    <w:rsid w:val="00C81E50"/>
    <w:rsid w:val="00CA0DAF"/>
    <w:rsid w:val="00CA3227"/>
    <w:rsid w:val="00CB563B"/>
    <w:rsid w:val="00CC10AC"/>
    <w:rsid w:val="00CC2C10"/>
    <w:rsid w:val="00CC4396"/>
    <w:rsid w:val="00CC7EE5"/>
    <w:rsid w:val="00CD08BC"/>
    <w:rsid w:val="00CD2694"/>
    <w:rsid w:val="00CD432B"/>
    <w:rsid w:val="00D1062A"/>
    <w:rsid w:val="00D13F44"/>
    <w:rsid w:val="00D274B2"/>
    <w:rsid w:val="00D42123"/>
    <w:rsid w:val="00D422C8"/>
    <w:rsid w:val="00D423A4"/>
    <w:rsid w:val="00D43B8C"/>
    <w:rsid w:val="00D45753"/>
    <w:rsid w:val="00D51EF8"/>
    <w:rsid w:val="00D549F7"/>
    <w:rsid w:val="00D654E5"/>
    <w:rsid w:val="00D7120C"/>
    <w:rsid w:val="00D86010"/>
    <w:rsid w:val="00D914F8"/>
    <w:rsid w:val="00DB1FD6"/>
    <w:rsid w:val="00DB423F"/>
    <w:rsid w:val="00DB5A91"/>
    <w:rsid w:val="00DC5459"/>
    <w:rsid w:val="00DD0ACD"/>
    <w:rsid w:val="00DD51F9"/>
    <w:rsid w:val="00DD5E58"/>
    <w:rsid w:val="00DE17B2"/>
    <w:rsid w:val="00DF3BB2"/>
    <w:rsid w:val="00DF5B7B"/>
    <w:rsid w:val="00E002F3"/>
    <w:rsid w:val="00E0146A"/>
    <w:rsid w:val="00E03A86"/>
    <w:rsid w:val="00E03AE3"/>
    <w:rsid w:val="00E171BB"/>
    <w:rsid w:val="00E21EF4"/>
    <w:rsid w:val="00E428F4"/>
    <w:rsid w:val="00E65D6A"/>
    <w:rsid w:val="00E666A2"/>
    <w:rsid w:val="00E75C14"/>
    <w:rsid w:val="00E80237"/>
    <w:rsid w:val="00EA6522"/>
    <w:rsid w:val="00EC1D01"/>
    <w:rsid w:val="00EC1E44"/>
    <w:rsid w:val="00EE00F3"/>
    <w:rsid w:val="00EE7A73"/>
    <w:rsid w:val="00EF580F"/>
    <w:rsid w:val="00F208EF"/>
    <w:rsid w:val="00F21F08"/>
    <w:rsid w:val="00F31A93"/>
    <w:rsid w:val="00F34F77"/>
    <w:rsid w:val="00F35DE4"/>
    <w:rsid w:val="00F431CB"/>
    <w:rsid w:val="00F53BE8"/>
    <w:rsid w:val="00FA423E"/>
    <w:rsid w:val="00FA5F5E"/>
    <w:rsid w:val="00FB0966"/>
    <w:rsid w:val="00FB4F21"/>
    <w:rsid w:val="00FB68DE"/>
    <w:rsid w:val="00FC5795"/>
    <w:rsid w:val="00FD4EEC"/>
    <w:rsid w:val="00FF01AF"/>
    <w:rsid w:val="00FF1A1F"/>
    <w:rsid w:val="01E03A6F"/>
    <w:rsid w:val="01FB2DCC"/>
    <w:rsid w:val="01FF1347"/>
    <w:rsid w:val="02704AC1"/>
    <w:rsid w:val="02D465B2"/>
    <w:rsid w:val="03277DA7"/>
    <w:rsid w:val="03EC3069"/>
    <w:rsid w:val="04811B2F"/>
    <w:rsid w:val="049417DB"/>
    <w:rsid w:val="04EB6FD1"/>
    <w:rsid w:val="05033437"/>
    <w:rsid w:val="05EC3993"/>
    <w:rsid w:val="0600479E"/>
    <w:rsid w:val="06194D92"/>
    <w:rsid w:val="06D90C87"/>
    <w:rsid w:val="06ED6A17"/>
    <w:rsid w:val="06F04929"/>
    <w:rsid w:val="07055B3F"/>
    <w:rsid w:val="08637838"/>
    <w:rsid w:val="08881C88"/>
    <w:rsid w:val="08D947A5"/>
    <w:rsid w:val="08FC529D"/>
    <w:rsid w:val="091B316B"/>
    <w:rsid w:val="09444C34"/>
    <w:rsid w:val="09E9006D"/>
    <w:rsid w:val="0A7A0CB6"/>
    <w:rsid w:val="0AF04EF9"/>
    <w:rsid w:val="0B2C24B9"/>
    <w:rsid w:val="0BA930D5"/>
    <w:rsid w:val="0C6D0285"/>
    <w:rsid w:val="0CAF204B"/>
    <w:rsid w:val="0D4F4F76"/>
    <w:rsid w:val="0DD77F9D"/>
    <w:rsid w:val="0E28298C"/>
    <w:rsid w:val="0EEA48DB"/>
    <w:rsid w:val="0EF06B8C"/>
    <w:rsid w:val="0F243CA1"/>
    <w:rsid w:val="0F64039A"/>
    <w:rsid w:val="104C4F78"/>
    <w:rsid w:val="10CE7A6E"/>
    <w:rsid w:val="11C00909"/>
    <w:rsid w:val="11D64DB8"/>
    <w:rsid w:val="11E85EC9"/>
    <w:rsid w:val="11FB180C"/>
    <w:rsid w:val="12292715"/>
    <w:rsid w:val="127A131C"/>
    <w:rsid w:val="129F6B53"/>
    <w:rsid w:val="132163E9"/>
    <w:rsid w:val="132318EC"/>
    <w:rsid w:val="132929BF"/>
    <w:rsid w:val="13336289"/>
    <w:rsid w:val="13653544"/>
    <w:rsid w:val="14042111"/>
    <w:rsid w:val="14694A91"/>
    <w:rsid w:val="14B622A1"/>
    <w:rsid w:val="15406575"/>
    <w:rsid w:val="15D937E1"/>
    <w:rsid w:val="15F3521F"/>
    <w:rsid w:val="162C4DCE"/>
    <w:rsid w:val="167B2863"/>
    <w:rsid w:val="16CF5943"/>
    <w:rsid w:val="17591614"/>
    <w:rsid w:val="182E4DAB"/>
    <w:rsid w:val="18637AD2"/>
    <w:rsid w:val="186F430D"/>
    <w:rsid w:val="18941A2E"/>
    <w:rsid w:val="18F938EC"/>
    <w:rsid w:val="19052BF0"/>
    <w:rsid w:val="191C2F2B"/>
    <w:rsid w:val="19CB0E5B"/>
    <w:rsid w:val="1A000732"/>
    <w:rsid w:val="1AF53036"/>
    <w:rsid w:val="1B52141F"/>
    <w:rsid w:val="1B970F8D"/>
    <w:rsid w:val="1BA54090"/>
    <w:rsid w:val="1BBF1E56"/>
    <w:rsid w:val="1D120BCB"/>
    <w:rsid w:val="1D905D34"/>
    <w:rsid w:val="1E5A772D"/>
    <w:rsid w:val="1E6A4EF2"/>
    <w:rsid w:val="1ECA50F7"/>
    <w:rsid w:val="1F1574F2"/>
    <w:rsid w:val="1F2769C8"/>
    <w:rsid w:val="1F6F3A49"/>
    <w:rsid w:val="200D6CA2"/>
    <w:rsid w:val="212969C4"/>
    <w:rsid w:val="219771C8"/>
    <w:rsid w:val="21B147F2"/>
    <w:rsid w:val="21CB53ED"/>
    <w:rsid w:val="21F57FB9"/>
    <w:rsid w:val="23E85160"/>
    <w:rsid w:val="240370EB"/>
    <w:rsid w:val="24581C7A"/>
    <w:rsid w:val="247A0A63"/>
    <w:rsid w:val="24B71D90"/>
    <w:rsid w:val="24DB0B9B"/>
    <w:rsid w:val="24DB53F7"/>
    <w:rsid w:val="258475A1"/>
    <w:rsid w:val="25D266A1"/>
    <w:rsid w:val="26EC23CE"/>
    <w:rsid w:val="276E64A1"/>
    <w:rsid w:val="277979AD"/>
    <w:rsid w:val="27B54980"/>
    <w:rsid w:val="27B7223F"/>
    <w:rsid w:val="27DB3FC7"/>
    <w:rsid w:val="281C737A"/>
    <w:rsid w:val="28C07479"/>
    <w:rsid w:val="29C277AF"/>
    <w:rsid w:val="2A1A322A"/>
    <w:rsid w:val="2A37111B"/>
    <w:rsid w:val="2B4F2B9A"/>
    <w:rsid w:val="2B7641B0"/>
    <w:rsid w:val="2BC5191C"/>
    <w:rsid w:val="2BDC59EE"/>
    <w:rsid w:val="2C3777F1"/>
    <w:rsid w:val="2DA90316"/>
    <w:rsid w:val="2E69772E"/>
    <w:rsid w:val="2EEC5FB1"/>
    <w:rsid w:val="2F1437C4"/>
    <w:rsid w:val="2F2F348A"/>
    <w:rsid w:val="2FB85F5A"/>
    <w:rsid w:val="300008CD"/>
    <w:rsid w:val="302D1031"/>
    <w:rsid w:val="31231BA7"/>
    <w:rsid w:val="31812FE5"/>
    <w:rsid w:val="3218508B"/>
    <w:rsid w:val="324671E7"/>
    <w:rsid w:val="3281659D"/>
    <w:rsid w:val="3359393D"/>
    <w:rsid w:val="33F044EA"/>
    <w:rsid w:val="35404BB3"/>
    <w:rsid w:val="35692D85"/>
    <w:rsid w:val="35C721C0"/>
    <w:rsid w:val="36064819"/>
    <w:rsid w:val="362631C6"/>
    <w:rsid w:val="368D008F"/>
    <w:rsid w:val="370D1F91"/>
    <w:rsid w:val="3725740D"/>
    <w:rsid w:val="372D53A3"/>
    <w:rsid w:val="372E2B9F"/>
    <w:rsid w:val="378660D1"/>
    <w:rsid w:val="37973C74"/>
    <w:rsid w:val="37C1628B"/>
    <w:rsid w:val="381468DF"/>
    <w:rsid w:val="38541222"/>
    <w:rsid w:val="38AA3FD5"/>
    <w:rsid w:val="39190C10"/>
    <w:rsid w:val="393E5858"/>
    <w:rsid w:val="39490E78"/>
    <w:rsid w:val="39D277FD"/>
    <w:rsid w:val="3A046D2E"/>
    <w:rsid w:val="3A690C77"/>
    <w:rsid w:val="3B2513FA"/>
    <w:rsid w:val="3B6A141B"/>
    <w:rsid w:val="3C462397"/>
    <w:rsid w:val="3C62144E"/>
    <w:rsid w:val="3C881F3B"/>
    <w:rsid w:val="3C8D1453"/>
    <w:rsid w:val="3CE3164C"/>
    <w:rsid w:val="3D112784"/>
    <w:rsid w:val="3D537E1B"/>
    <w:rsid w:val="3D6E4AA8"/>
    <w:rsid w:val="3EE40531"/>
    <w:rsid w:val="3FF33701"/>
    <w:rsid w:val="418C43F6"/>
    <w:rsid w:val="41BD52B5"/>
    <w:rsid w:val="41BD60A7"/>
    <w:rsid w:val="41C405BA"/>
    <w:rsid w:val="428E44BD"/>
    <w:rsid w:val="42E97456"/>
    <w:rsid w:val="434A4095"/>
    <w:rsid w:val="439472FE"/>
    <w:rsid w:val="439B6EBF"/>
    <w:rsid w:val="44A40E36"/>
    <w:rsid w:val="44FC5B4F"/>
    <w:rsid w:val="454F4CC7"/>
    <w:rsid w:val="46AA0DB6"/>
    <w:rsid w:val="46B43F0C"/>
    <w:rsid w:val="46CA2F82"/>
    <w:rsid w:val="47577F36"/>
    <w:rsid w:val="479964F6"/>
    <w:rsid w:val="48963B22"/>
    <w:rsid w:val="48D94F09"/>
    <w:rsid w:val="48EA3CED"/>
    <w:rsid w:val="499719C0"/>
    <w:rsid w:val="4A770496"/>
    <w:rsid w:val="4AA11892"/>
    <w:rsid w:val="4AAF415B"/>
    <w:rsid w:val="4B29638C"/>
    <w:rsid w:val="4B6277F9"/>
    <w:rsid w:val="4B6327A2"/>
    <w:rsid w:val="4BA20FAE"/>
    <w:rsid w:val="4C363818"/>
    <w:rsid w:val="4D2B308B"/>
    <w:rsid w:val="4D4B5919"/>
    <w:rsid w:val="4DA82344"/>
    <w:rsid w:val="4DAB7548"/>
    <w:rsid w:val="4DD02D06"/>
    <w:rsid w:val="4DD23DD1"/>
    <w:rsid w:val="4DF723A2"/>
    <w:rsid w:val="4E0F0630"/>
    <w:rsid w:val="4E782FE8"/>
    <w:rsid w:val="4E7A3EF7"/>
    <w:rsid w:val="4EB04145"/>
    <w:rsid w:val="4FEE4422"/>
    <w:rsid w:val="509D107F"/>
    <w:rsid w:val="50A768BA"/>
    <w:rsid w:val="50B56320"/>
    <w:rsid w:val="50B80408"/>
    <w:rsid w:val="50F15565"/>
    <w:rsid w:val="51BC073E"/>
    <w:rsid w:val="52B94388"/>
    <w:rsid w:val="52BE1322"/>
    <w:rsid w:val="532B4109"/>
    <w:rsid w:val="536769A7"/>
    <w:rsid w:val="53691BA5"/>
    <w:rsid w:val="56BD1BE4"/>
    <w:rsid w:val="575C7524"/>
    <w:rsid w:val="57B96CF3"/>
    <w:rsid w:val="590C2384"/>
    <w:rsid w:val="5A3771B1"/>
    <w:rsid w:val="5A503E97"/>
    <w:rsid w:val="5A7178D9"/>
    <w:rsid w:val="5AF86842"/>
    <w:rsid w:val="5B1F0AAD"/>
    <w:rsid w:val="5B224973"/>
    <w:rsid w:val="5CB94968"/>
    <w:rsid w:val="5E4707BD"/>
    <w:rsid w:val="5E7B7150"/>
    <w:rsid w:val="5E8C455A"/>
    <w:rsid w:val="5E974135"/>
    <w:rsid w:val="5F1E2C38"/>
    <w:rsid w:val="5F3B26B1"/>
    <w:rsid w:val="60E37CEF"/>
    <w:rsid w:val="61E35540"/>
    <w:rsid w:val="622B0212"/>
    <w:rsid w:val="631555C6"/>
    <w:rsid w:val="631D201C"/>
    <w:rsid w:val="646655BE"/>
    <w:rsid w:val="65EB1D9B"/>
    <w:rsid w:val="66604E7A"/>
    <w:rsid w:val="671D377E"/>
    <w:rsid w:val="67B40385"/>
    <w:rsid w:val="67EC6DD5"/>
    <w:rsid w:val="67FB362F"/>
    <w:rsid w:val="694E6DF8"/>
    <w:rsid w:val="69862972"/>
    <w:rsid w:val="69E736BF"/>
    <w:rsid w:val="69EE508C"/>
    <w:rsid w:val="6A102725"/>
    <w:rsid w:val="6A364D89"/>
    <w:rsid w:val="6AEC6217"/>
    <w:rsid w:val="6AF66F6D"/>
    <w:rsid w:val="6B016FFE"/>
    <w:rsid w:val="6BED01C6"/>
    <w:rsid w:val="6C012C58"/>
    <w:rsid w:val="6CF22E26"/>
    <w:rsid w:val="6D07401E"/>
    <w:rsid w:val="6DAB1EAB"/>
    <w:rsid w:val="6DE257B4"/>
    <w:rsid w:val="6E143C70"/>
    <w:rsid w:val="6EB67AFD"/>
    <w:rsid w:val="6EBC4DE6"/>
    <w:rsid w:val="6EC540D5"/>
    <w:rsid w:val="6F3D6A67"/>
    <w:rsid w:val="6F784A31"/>
    <w:rsid w:val="6FAC0879"/>
    <w:rsid w:val="6FC832C3"/>
    <w:rsid w:val="6FEE15BE"/>
    <w:rsid w:val="706546CA"/>
    <w:rsid w:val="708F33A6"/>
    <w:rsid w:val="70947055"/>
    <w:rsid w:val="71A86DAC"/>
    <w:rsid w:val="71F0404C"/>
    <w:rsid w:val="723E462E"/>
    <w:rsid w:val="73FB6A64"/>
    <w:rsid w:val="74B1311C"/>
    <w:rsid w:val="759A183E"/>
    <w:rsid w:val="75B97B95"/>
    <w:rsid w:val="768A45BA"/>
    <w:rsid w:val="76F649DD"/>
    <w:rsid w:val="778C655C"/>
    <w:rsid w:val="778E3BF1"/>
    <w:rsid w:val="77E445E3"/>
    <w:rsid w:val="7812309D"/>
    <w:rsid w:val="78353625"/>
    <w:rsid w:val="7855070D"/>
    <w:rsid w:val="78764D25"/>
    <w:rsid w:val="78CA14B0"/>
    <w:rsid w:val="795240BA"/>
    <w:rsid w:val="795B269F"/>
    <w:rsid w:val="798241DD"/>
    <w:rsid w:val="79DE208C"/>
    <w:rsid w:val="7A221466"/>
    <w:rsid w:val="7A680985"/>
    <w:rsid w:val="7B471A10"/>
    <w:rsid w:val="7B4D7964"/>
    <w:rsid w:val="7BF3509F"/>
    <w:rsid w:val="7CAD1D71"/>
    <w:rsid w:val="7D5B335C"/>
    <w:rsid w:val="7D7E32B0"/>
    <w:rsid w:val="7D9A14BE"/>
    <w:rsid w:val="7D9A73F1"/>
    <w:rsid w:val="7DB75B95"/>
    <w:rsid w:val="7EAF516D"/>
    <w:rsid w:val="7EB44FA2"/>
    <w:rsid w:val="7EE3536E"/>
    <w:rsid w:val="7EF838D5"/>
    <w:rsid w:val="7EFB1CC4"/>
    <w:rsid w:val="7F3523DC"/>
    <w:rsid w:val="7F9E4656"/>
    <w:rsid w:val="7FF931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9"/>
    <w:pPr>
      <w:keepNext/>
      <w:keepLines/>
      <w:spacing w:before="120" w:after="120"/>
      <w:jc w:val="center"/>
      <w:outlineLvl w:val="1"/>
    </w:pPr>
    <w:rPr>
      <w:rFonts w:ascii="Cambria" w:hAnsi="Cambria"/>
      <w:b/>
      <w:bCs/>
      <w:kern w:val="0"/>
      <w:sz w:val="32"/>
      <w:szCs w:val="32"/>
    </w:rPr>
  </w:style>
  <w:style w:type="paragraph" w:styleId="5">
    <w:name w:val="heading 3"/>
    <w:basedOn w:val="1"/>
    <w:next w:val="1"/>
    <w:link w:val="32"/>
    <w:qFormat/>
    <w:uiPriority w:val="99"/>
    <w:pPr>
      <w:keepNext/>
      <w:keepLines/>
      <w:jc w:val="left"/>
      <w:outlineLvl w:val="2"/>
    </w:pPr>
    <w:rPr>
      <w:b/>
      <w:kern w:val="0"/>
      <w:sz w:val="32"/>
      <w:szCs w:val="20"/>
    </w:rPr>
  </w:style>
  <w:style w:type="paragraph" w:styleId="6">
    <w:name w:val="heading 4"/>
    <w:basedOn w:val="1"/>
    <w:next w:val="1"/>
    <w:link w:val="33"/>
    <w:qFormat/>
    <w:uiPriority w:val="99"/>
    <w:pPr>
      <w:keepNext/>
      <w:keepLines/>
      <w:jc w:val="left"/>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rFonts w:ascii="仿宋" w:hAnsi="仿宋" w:eastAsia="仿宋" w:cs="仿宋"/>
      <w:sz w:val="28"/>
      <w:szCs w:val="28"/>
      <w:lang w:val="zh-CN" w:eastAsia="zh-CN" w:bidi="zh-CN"/>
    </w:rPr>
  </w:style>
  <w:style w:type="paragraph" w:styleId="7">
    <w:name w:val="Normal Indent"/>
    <w:basedOn w:val="1"/>
    <w:qFormat/>
    <w:uiPriority w:val="99"/>
    <w:pPr>
      <w:ind w:firstLine="420" w:firstLineChars="200"/>
    </w:pPr>
  </w:style>
  <w:style w:type="paragraph" w:styleId="8">
    <w:name w:val="annotation text"/>
    <w:basedOn w:val="1"/>
    <w:link w:val="34"/>
    <w:qFormat/>
    <w:uiPriority w:val="99"/>
    <w:pPr>
      <w:jc w:val="left"/>
    </w:pPr>
    <w:rPr>
      <w:kern w:val="0"/>
      <w:sz w:val="20"/>
    </w:rPr>
  </w:style>
  <w:style w:type="paragraph" w:styleId="9">
    <w:name w:val="Body Text 3"/>
    <w:basedOn w:val="1"/>
    <w:link w:val="36"/>
    <w:qFormat/>
    <w:uiPriority w:val="99"/>
    <w:rPr>
      <w:kern w:val="0"/>
      <w:sz w:val="16"/>
      <w:szCs w:val="16"/>
    </w:rPr>
  </w:style>
  <w:style w:type="paragraph" w:styleId="10">
    <w:name w:val="Body Text Indent"/>
    <w:basedOn w:val="1"/>
    <w:link w:val="37"/>
    <w:qFormat/>
    <w:uiPriority w:val="99"/>
    <w:pPr>
      <w:ind w:left="538" w:hanging="538" w:hangingChars="192"/>
    </w:pPr>
    <w:rPr>
      <w:kern w:val="0"/>
      <w:sz w:val="20"/>
    </w:rPr>
  </w:style>
  <w:style w:type="paragraph" w:styleId="11">
    <w:name w:val="toc 3"/>
    <w:basedOn w:val="1"/>
    <w:next w:val="1"/>
    <w:qFormat/>
    <w:uiPriority w:val="39"/>
    <w:pPr>
      <w:spacing w:line="240" w:lineRule="auto"/>
      <w:ind w:left="420"/>
      <w:jc w:val="left"/>
    </w:pPr>
    <w:rPr>
      <w:iCs/>
      <w:sz w:val="20"/>
      <w:szCs w:val="20"/>
    </w:rPr>
  </w:style>
  <w:style w:type="paragraph" w:styleId="12">
    <w:name w:val="Plain Text"/>
    <w:basedOn w:val="1"/>
    <w:link w:val="38"/>
    <w:qFormat/>
    <w:uiPriority w:val="99"/>
    <w:pPr>
      <w:ind w:firstLine="200" w:firstLineChars="200"/>
    </w:pPr>
    <w:rPr>
      <w:rFonts w:ascii="宋体" w:hAnsi="Courier New"/>
      <w:kern w:val="0"/>
      <w:sz w:val="20"/>
      <w:szCs w:val="21"/>
    </w:rPr>
  </w:style>
  <w:style w:type="paragraph" w:styleId="13">
    <w:name w:val="Date"/>
    <w:basedOn w:val="1"/>
    <w:next w:val="1"/>
    <w:link w:val="39"/>
    <w:qFormat/>
    <w:uiPriority w:val="99"/>
    <w:rPr>
      <w:kern w:val="0"/>
      <w:sz w:val="20"/>
    </w:rPr>
  </w:style>
  <w:style w:type="paragraph" w:styleId="14">
    <w:name w:val="Balloon Text"/>
    <w:basedOn w:val="1"/>
    <w:link w:val="40"/>
    <w:semiHidden/>
    <w:qFormat/>
    <w:uiPriority w:val="99"/>
    <w:rPr>
      <w:kern w:val="0"/>
      <w:sz w:val="2"/>
    </w:rPr>
  </w:style>
  <w:style w:type="paragraph" w:styleId="15">
    <w:name w:val="footer"/>
    <w:basedOn w:val="1"/>
    <w:link w:val="41"/>
    <w:qFormat/>
    <w:uiPriority w:val="99"/>
    <w:pPr>
      <w:tabs>
        <w:tab w:val="center" w:pos="4153"/>
        <w:tab w:val="right" w:pos="8306"/>
      </w:tabs>
      <w:snapToGrid w:val="0"/>
      <w:jc w:val="left"/>
    </w:pPr>
    <w:rPr>
      <w:kern w:val="0"/>
      <w:sz w:val="18"/>
      <w:szCs w:val="18"/>
    </w:rPr>
  </w:style>
  <w:style w:type="paragraph" w:styleId="16">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kern w:val="0"/>
      <w:sz w:val="18"/>
      <w:szCs w:val="18"/>
    </w:rPr>
  </w:style>
  <w:style w:type="paragraph" w:styleId="17">
    <w:name w:val="toc 1"/>
    <w:basedOn w:val="1"/>
    <w:next w:val="1"/>
    <w:qFormat/>
    <w:uiPriority w:val="99"/>
    <w:pPr>
      <w:spacing w:line="240" w:lineRule="auto"/>
      <w:jc w:val="left"/>
    </w:pPr>
    <w:rPr>
      <w:bCs/>
      <w:caps/>
      <w:sz w:val="20"/>
      <w:szCs w:val="20"/>
    </w:rPr>
  </w:style>
  <w:style w:type="paragraph" w:styleId="18">
    <w:name w:val="toc 4"/>
    <w:basedOn w:val="1"/>
    <w:next w:val="1"/>
    <w:qFormat/>
    <w:uiPriority w:val="99"/>
    <w:pPr>
      <w:spacing w:line="240" w:lineRule="auto"/>
      <w:ind w:left="629"/>
      <w:jc w:val="left"/>
    </w:pPr>
    <w:rPr>
      <w:sz w:val="18"/>
      <w:szCs w:val="18"/>
    </w:rPr>
  </w:style>
  <w:style w:type="paragraph" w:styleId="19">
    <w:name w:val="toc 2"/>
    <w:basedOn w:val="1"/>
    <w:next w:val="1"/>
    <w:qFormat/>
    <w:uiPriority w:val="39"/>
    <w:pPr>
      <w:spacing w:line="240" w:lineRule="auto"/>
      <w:ind w:left="210"/>
      <w:jc w:val="left"/>
    </w:pPr>
    <w:rPr>
      <w:smallCaps/>
      <w:sz w:val="20"/>
      <w:szCs w:val="20"/>
    </w:rPr>
  </w:style>
  <w:style w:type="paragraph" w:styleId="20">
    <w:name w:val="Normal (Web)"/>
    <w:basedOn w:val="1"/>
    <w:qFormat/>
    <w:uiPriority w:val="99"/>
    <w:pPr>
      <w:widowControl/>
      <w:spacing w:beforeAutospacing="1" w:afterAutospacing="1"/>
      <w:jc w:val="left"/>
    </w:pPr>
    <w:rPr>
      <w:rFonts w:ascii="宋体" w:hAnsi="宋体" w:cs="宋体"/>
      <w:kern w:val="0"/>
      <w:sz w:val="24"/>
    </w:rPr>
  </w:style>
  <w:style w:type="paragraph" w:styleId="21">
    <w:name w:val="Title"/>
    <w:basedOn w:val="1"/>
    <w:link w:val="43"/>
    <w:qFormat/>
    <w:uiPriority w:val="99"/>
    <w:pPr>
      <w:jc w:val="center"/>
    </w:pPr>
    <w:rPr>
      <w:rFonts w:ascii="Cambria" w:hAnsi="Cambria"/>
      <w:b/>
      <w:bCs/>
      <w:kern w:val="0"/>
      <w:sz w:val="32"/>
      <w:szCs w:val="32"/>
    </w:rPr>
  </w:style>
  <w:style w:type="paragraph" w:styleId="22">
    <w:name w:val="annotation subject"/>
    <w:basedOn w:val="8"/>
    <w:next w:val="8"/>
    <w:link w:val="35"/>
    <w:semiHidden/>
    <w:qFormat/>
    <w:locked/>
    <w:uiPriority w:val="99"/>
    <w:rPr>
      <w:b/>
      <w:bCs/>
      <w:kern w:val="2"/>
      <w:sz w:val="21"/>
    </w:rPr>
  </w:style>
  <w:style w:type="table" w:styleId="24">
    <w:name w:val="Table Grid"/>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FollowedHyperlink"/>
    <w:basedOn w:val="25"/>
    <w:qFormat/>
    <w:uiPriority w:val="99"/>
    <w:rPr>
      <w:rFonts w:cs="Times New Roman"/>
      <w:color w:val="1B489E"/>
      <w:u w:val="none"/>
    </w:rPr>
  </w:style>
  <w:style w:type="character" w:styleId="28">
    <w:name w:val="Hyperlink"/>
    <w:basedOn w:val="25"/>
    <w:qFormat/>
    <w:uiPriority w:val="99"/>
    <w:rPr>
      <w:rFonts w:cs="Times New Roman"/>
      <w:color w:val="0000FF"/>
      <w:u w:val="single"/>
    </w:rPr>
  </w:style>
  <w:style w:type="character" w:styleId="29">
    <w:name w:val="annotation reference"/>
    <w:basedOn w:val="25"/>
    <w:qFormat/>
    <w:uiPriority w:val="99"/>
    <w:rPr>
      <w:rFonts w:cs="Times New Roman"/>
      <w:sz w:val="21"/>
    </w:rPr>
  </w:style>
  <w:style w:type="character" w:customStyle="1" w:styleId="30">
    <w:name w:val="标题 1 Char"/>
    <w:basedOn w:val="25"/>
    <w:link w:val="3"/>
    <w:qFormat/>
    <w:locked/>
    <w:uiPriority w:val="99"/>
    <w:rPr>
      <w:rFonts w:cs="Times New Roman"/>
      <w:b/>
      <w:kern w:val="44"/>
      <w:sz w:val="44"/>
    </w:rPr>
  </w:style>
  <w:style w:type="character" w:customStyle="1" w:styleId="31">
    <w:name w:val="标题 2 Char"/>
    <w:basedOn w:val="25"/>
    <w:link w:val="4"/>
    <w:semiHidden/>
    <w:qFormat/>
    <w:locked/>
    <w:uiPriority w:val="99"/>
    <w:rPr>
      <w:rFonts w:ascii="Cambria" w:hAnsi="Cambria" w:eastAsia="宋体" w:cs="Times New Roman"/>
      <w:b/>
      <w:sz w:val="32"/>
    </w:rPr>
  </w:style>
  <w:style w:type="character" w:customStyle="1" w:styleId="32">
    <w:name w:val="标题 3 Char"/>
    <w:basedOn w:val="25"/>
    <w:link w:val="5"/>
    <w:qFormat/>
    <w:locked/>
    <w:uiPriority w:val="99"/>
    <w:rPr>
      <w:rFonts w:cs="Times New Roman"/>
      <w:b/>
      <w:sz w:val="32"/>
    </w:rPr>
  </w:style>
  <w:style w:type="character" w:customStyle="1" w:styleId="33">
    <w:name w:val="标题 4 Char"/>
    <w:basedOn w:val="25"/>
    <w:link w:val="6"/>
    <w:semiHidden/>
    <w:qFormat/>
    <w:locked/>
    <w:uiPriority w:val="99"/>
    <w:rPr>
      <w:rFonts w:ascii="Cambria" w:hAnsi="Cambria" w:eastAsia="宋体" w:cs="Times New Roman"/>
      <w:b/>
      <w:sz w:val="28"/>
    </w:rPr>
  </w:style>
  <w:style w:type="character" w:customStyle="1" w:styleId="34">
    <w:name w:val="批注文字 Char"/>
    <w:basedOn w:val="25"/>
    <w:link w:val="8"/>
    <w:semiHidden/>
    <w:qFormat/>
    <w:locked/>
    <w:uiPriority w:val="99"/>
    <w:rPr>
      <w:rFonts w:cs="Times New Roman"/>
      <w:sz w:val="24"/>
    </w:rPr>
  </w:style>
  <w:style w:type="character" w:customStyle="1" w:styleId="35">
    <w:name w:val="批注主题 Char"/>
    <w:basedOn w:val="34"/>
    <w:link w:val="22"/>
    <w:semiHidden/>
    <w:qFormat/>
    <w:locked/>
    <w:uiPriority w:val="99"/>
    <w:rPr>
      <w:b/>
      <w:bCs/>
      <w:szCs w:val="24"/>
    </w:rPr>
  </w:style>
  <w:style w:type="character" w:customStyle="1" w:styleId="36">
    <w:name w:val="正文文本 3 Char"/>
    <w:basedOn w:val="25"/>
    <w:link w:val="9"/>
    <w:semiHidden/>
    <w:qFormat/>
    <w:locked/>
    <w:uiPriority w:val="99"/>
    <w:rPr>
      <w:rFonts w:cs="Times New Roman"/>
      <w:sz w:val="16"/>
    </w:rPr>
  </w:style>
  <w:style w:type="character" w:customStyle="1" w:styleId="37">
    <w:name w:val="正文文本缩进 Char"/>
    <w:basedOn w:val="25"/>
    <w:link w:val="10"/>
    <w:semiHidden/>
    <w:qFormat/>
    <w:locked/>
    <w:uiPriority w:val="99"/>
    <w:rPr>
      <w:rFonts w:cs="Times New Roman"/>
      <w:sz w:val="24"/>
    </w:rPr>
  </w:style>
  <w:style w:type="character" w:customStyle="1" w:styleId="38">
    <w:name w:val="纯文本 Char"/>
    <w:basedOn w:val="25"/>
    <w:link w:val="12"/>
    <w:semiHidden/>
    <w:qFormat/>
    <w:locked/>
    <w:uiPriority w:val="99"/>
    <w:rPr>
      <w:rFonts w:ascii="宋体" w:hAnsi="Courier New" w:cs="Times New Roman"/>
      <w:sz w:val="21"/>
    </w:rPr>
  </w:style>
  <w:style w:type="character" w:customStyle="1" w:styleId="39">
    <w:name w:val="日期 Char"/>
    <w:basedOn w:val="25"/>
    <w:link w:val="13"/>
    <w:semiHidden/>
    <w:qFormat/>
    <w:locked/>
    <w:uiPriority w:val="99"/>
    <w:rPr>
      <w:rFonts w:cs="Times New Roman"/>
      <w:sz w:val="24"/>
    </w:rPr>
  </w:style>
  <w:style w:type="character" w:customStyle="1" w:styleId="40">
    <w:name w:val="批注框文本 Char"/>
    <w:basedOn w:val="25"/>
    <w:link w:val="14"/>
    <w:semiHidden/>
    <w:qFormat/>
    <w:locked/>
    <w:uiPriority w:val="99"/>
    <w:rPr>
      <w:rFonts w:cs="Times New Roman"/>
      <w:sz w:val="2"/>
    </w:rPr>
  </w:style>
  <w:style w:type="character" w:customStyle="1" w:styleId="41">
    <w:name w:val="页脚 Char"/>
    <w:basedOn w:val="25"/>
    <w:link w:val="15"/>
    <w:semiHidden/>
    <w:qFormat/>
    <w:locked/>
    <w:uiPriority w:val="99"/>
    <w:rPr>
      <w:rFonts w:cs="Times New Roman"/>
      <w:sz w:val="18"/>
    </w:rPr>
  </w:style>
  <w:style w:type="character" w:customStyle="1" w:styleId="42">
    <w:name w:val="页眉 Char"/>
    <w:basedOn w:val="25"/>
    <w:link w:val="16"/>
    <w:semiHidden/>
    <w:qFormat/>
    <w:locked/>
    <w:uiPriority w:val="99"/>
    <w:rPr>
      <w:rFonts w:cs="Times New Roman"/>
      <w:sz w:val="18"/>
    </w:rPr>
  </w:style>
  <w:style w:type="character" w:customStyle="1" w:styleId="43">
    <w:name w:val="标题 Char"/>
    <w:basedOn w:val="25"/>
    <w:link w:val="21"/>
    <w:qFormat/>
    <w:locked/>
    <w:uiPriority w:val="99"/>
    <w:rPr>
      <w:rFonts w:ascii="Cambria" w:hAnsi="Cambria" w:cs="Times New Roman"/>
      <w:b/>
      <w:sz w:val="32"/>
    </w:rPr>
  </w:style>
  <w:style w:type="character" w:customStyle="1" w:styleId="44">
    <w:name w:val="bg_error"/>
    <w:qFormat/>
    <w:uiPriority w:val="99"/>
    <w:rPr>
      <w:color w:val="000000"/>
      <w:sz w:val="18"/>
    </w:rPr>
  </w:style>
  <w:style w:type="character" w:customStyle="1" w:styleId="45">
    <w:name w:val="nor"/>
    <w:qFormat/>
    <w:uiPriority w:val="99"/>
    <w:rPr>
      <w:color w:val="000000"/>
    </w:rPr>
  </w:style>
  <w:style w:type="character" w:customStyle="1" w:styleId="46">
    <w:name w:val="bg_right"/>
    <w:qFormat/>
    <w:uiPriority w:val="99"/>
    <w:rPr>
      <w:color w:val="5A8F00"/>
      <w:sz w:val="24"/>
    </w:rPr>
  </w:style>
  <w:style w:type="paragraph" w:customStyle="1" w:styleId="47">
    <w:name w:val="Table Paragraph"/>
    <w:basedOn w:val="1"/>
    <w:qFormat/>
    <w:uiPriority w:val="1"/>
    <w:rPr>
      <w:rFonts w:ascii="仿宋" w:hAnsi="仿宋" w:eastAsia="仿宋" w:cs="仿宋"/>
      <w:lang w:val="zh-CN" w:eastAsia="zh-CN" w:bidi="zh-CN"/>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paragraph" w:customStyle="1" w:styleId="5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12326</Words>
  <Characters>13008</Characters>
  <Lines>90</Lines>
  <Paragraphs>25</Paragraphs>
  <TotalTime>0</TotalTime>
  <ScaleCrop>false</ScaleCrop>
  <LinksUpToDate>false</LinksUpToDate>
  <CharactersWithSpaces>15866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2017-06-06T14:58:00Z</dcterms:created>
  <dc:creator>Administrator</dc:creator>
  <cp:lastModifiedBy>wyj.敬</cp:lastModifiedBy>
  <cp:lastPrinted>2022-07-18T10:05:00Z</cp:lastPrinted>
  <dcterms:modified xsi:type="dcterms:W3CDTF">2022-07-21T01:55:52Z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48BB3D5F8E9040938FD379704F7D41F9</vt:lpwstr>
  </property>
</Properties>
</file>